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2E75B6" w:sz="8" w:space="8"/>
        </w:pBdr>
        <w:spacing w:after="80" w:before="0"/>
        <w:jc w:val="center"/>
      </w:pPr>
      <w:r>
        <w:rPr>
          <w:rFonts w:ascii="Arial" w:cs="Arial" w:eastAsia="Arial" w:hAnsi="Arial"/>
          <w:b/>
          <w:bCs/>
          <w:color w:val="1B3A6B"/>
          <w:sz w:val="52"/>
          <w:szCs w:val="52"/>
        </w:rPr>
        <w:t xml:space="preserve">AUTO INSURANCE COVERAGE GUIDE</w:t>
      </w:r>
    </w:p>
    <w:p>
      <w:pPr>
        <w:spacing w:after="60" w:before="120"/>
        <w:jc w:val="center"/>
      </w:pPr>
      <w:r>
        <w:rPr>
          <w:rFonts w:ascii="Arial" w:cs="Arial" w:eastAsia="Arial" w:hAnsi="Arial"/>
          <w:i/>
          <w:iCs/>
          <w:color w:val="4A4A6A"/>
          <w:sz w:val="26"/>
          <w:szCs w:val="26"/>
        </w:rPr>
        <w:t xml:space="preserve">Understanding Your Policy: A Complete Coverage Breakdown</w:t>
      </w:r>
    </w:p>
    <w:p>
      <w:pPr>
        <w:spacing w:after="0" w:before="0"/>
        <w:jc w:val="center"/>
      </w:pPr>
      <w:r>
        <w:rPr>
          <w:rFonts w:ascii="Arial" w:cs="Arial" w:eastAsia="Arial" w:hAnsi="Arial"/>
          <w:color w:val="7A7A9A"/>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75B6" w:sz="18"/>
              <w:bottom w:val="none" w:color="FFFFFF" w:sz="0"/>
              <w:right w:val="none" w:color="FFFFFF" w:sz="0"/>
            </w:tcBorders>
            <w:shd w:fill="F0F2F8" w:val="clear"/>
            <w:tcMar>
              <w:top w:type="dxa" w:w="120"/>
              <w:left w:type="dxa" w:w="220"/>
              <w:bottom w:type="dxa" w:w="120"/>
              <w:right w:type="dxa" w:w="220"/>
            </w:tcMar>
          </w:tcPr>
          <w:p>
            <w:pPr>
              <w:spacing w:after="100" w:before="0"/>
            </w:pPr>
            <w:r>
              <w:rPr>
                <w:rFonts w:ascii="Arial" w:cs="Arial" w:eastAsia="Arial" w:hAnsi="Arial"/>
                <w:color w:val="4A4A6A"/>
                <w:sz w:val="22"/>
                <w:szCs w:val="22"/>
              </w:rPr>
              <w:t xml:space="preserve">Auto insurance can be confusing. With so many coverage types, limits, and options available, it can be difficult to know exactly what protection you have — and what you may be missing. This guide breaks down the most important auto insurance coverages in plain language, helping you make informed decisions about protecting yourself, your passengers, and your assets on the road.</w:t>
            </w:r>
          </w:p>
          <w:p>
            <w:pPr>
              <w:spacing w:after="0" w:before="0"/>
            </w:pPr>
            <w:r>
              <w:rPr>
                <w:rFonts w:ascii="Arial" w:cs="Arial" w:eastAsia="Arial" w:hAnsi="Arial"/>
                <w:color w:val="4A4A6A"/>
                <w:sz w:val="22"/>
                <w:szCs w:val="22"/>
              </w:rPr>
              <w:t xml:space="preserve">Whether you are purchasing a new policy, reviewing your current coverage, or simply trying to understand what your declarations page means, this article will walk you through each major coverage type — what it does, why it matters, and when you need it.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B3A6B" w:val="clear"/>
            <w:tcMar>
              <w:top w:type="dxa" w:w="160"/>
              <w:left w:type="dxa" w:w="240"/>
              <w:bottom w:type="dxa" w:w="160"/>
              <w:right w:type="dxa" w:w="240"/>
            </w:tcMar>
          </w:tcPr>
          <w:p>
            <w:pPr>
              <w:spacing w:after="0" w:before="0"/>
            </w:pPr>
            <w:r>
              <w:rPr>
                <w:rFonts w:ascii="Arial" w:cs="Arial" w:eastAsia="Arial" w:hAnsi="Arial"/>
                <w:b/>
                <w:bCs/>
                <w:color w:val="7EB4E0"/>
                <w:sz w:val="28"/>
                <w:szCs w:val="28"/>
              </w:rPr>
              <w:t xml:space="preserve">1.  </w:t>
            </w:r>
            <w:r>
              <w:rPr>
                <w:rFonts w:ascii="Arial" w:cs="Arial" w:eastAsia="Arial" w:hAnsi="Arial"/>
                <w:b/>
                <w:bCs/>
                <w:color w:val="FFFFFF"/>
                <w:sz w:val="28"/>
                <w:szCs w:val="28"/>
              </w:rPr>
              <w:t xml:space="preserve">Liability Coverage (Bodily Injury &amp; Property Damage)</w:t>
            </w:r>
          </w:p>
        </w:tc>
      </w:tr>
    </w:tbl>
    <w:p>
      <w:pPr>
        <w:spacing w:after="0" w:before="100"/>
      </w:pPr>
      <w:r>
        <w:rPr>
          <w:rFonts w:ascii="Arial" w:cs="Arial" w:eastAsia="Arial" w:hAnsi="Arial"/>
        </w:rPr>
        <w:t xml:space="preserve"/>
      </w:r>
    </w:p>
    <w:p>
      <w:pPr>
        <w:spacing w:after="120" w:before="80"/>
      </w:pPr>
      <w:r>
        <w:rPr>
          <w:rFonts w:ascii="Arial" w:cs="Arial" w:eastAsia="Arial" w:hAnsi="Arial"/>
          <w:color w:val="2A2A2A"/>
          <w:sz w:val="22"/>
          <w:szCs w:val="22"/>
        </w:rPr>
        <w:t xml:space="preserve">Liability coverage is the foundation of any auto insurance policy and is required by law in nearly every state. It protects you financially when you are found legally responsible — or “at fault” — for an accident that causes injury to another person or damage to someone else’s property. Liability coverage does not pay for your own injuries or vehicle damage; it covers the other party.</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0"/>
        </w:tblCellMar>
      </w:tblPr>
      <w:tblGrid>
        <w:gridCol w:w="4620"/>
        <w:gridCol w:w="4620"/>
      </w:tblGrid>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Bodily Injury Liability (BI)</w:t>
            </w:r>
          </w:p>
          <w:p>
            <w:pPr>
              <w:spacing w:after="0" w:before="0"/>
            </w:pPr>
            <w:r>
              <w:rPr>
                <w:rFonts w:ascii="Arial" w:cs="Arial" w:eastAsia="Arial" w:hAnsi="Arial"/>
                <w:color w:val="4A4A6A"/>
                <w:sz w:val="20"/>
                <w:szCs w:val="20"/>
              </w:rPr>
              <w:t xml:space="preserve">Covers medical expenses, lost wages, pain and suffering, and legal defense costs for other people injured in an accident you caused.</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Property Damage Liability (PD)</w:t>
            </w:r>
          </w:p>
          <w:p>
            <w:pPr>
              <w:spacing w:after="0" w:before="0"/>
            </w:pPr>
            <w:r>
              <w:rPr>
                <w:rFonts w:ascii="Arial" w:cs="Arial" w:eastAsia="Arial" w:hAnsi="Arial"/>
                <w:color w:val="4A4A6A"/>
                <w:sz w:val="20"/>
                <w:szCs w:val="20"/>
              </w:rPr>
              <w:t xml:space="preserve">Covers the cost of repairing or replacing another person’s vehicle or property — such as a fence, building, or utility pole — damaged in an at-fault accident.</w:t>
            </w:r>
          </w:p>
        </w:tc>
      </w:tr>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Why It Matters</w:t>
            </w:r>
          </w:p>
          <w:p>
            <w:pPr>
              <w:spacing w:after="0" w:before="0"/>
            </w:pPr>
            <w:r>
              <w:rPr>
                <w:rFonts w:ascii="Arial" w:cs="Arial" w:eastAsia="Arial" w:hAnsi="Arial"/>
                <w:color w:val="4A4A6A"/>
                <w:sz w:val="20"/>
                <w:szCs w:val="20"/>
              </w:rPr>
              <w:t xml:space="preserve">Without adequate liability coverage, you could be personally responsible for damages out of pocket. Medical bills, legal judgments, and lost wage claims can far exceed minimum state limits.</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State Requirements</w:t>
            </w:r>
          </w:p>
          <w:p>
            <w:pPr>
              <w:spacing w:after="0" w:before="0"/>
            </w:pPr>
            <w:r>
              <w:rPr>
                <w:rFonts w:ascii="Arial" w:cs="Arial" w:eastAsia="Arial" w:hAnsi="Arial"/>
                <w:color w:val="4A4A6A"/>
                <w:sz w:val="20"/>
                <w:szCs w:val="20"/>
              </w:rPr>
              <w:t xml:space="preserve">Every state sets its own minimum liability limits. Meeting the minimum is legally required, but most professionals recommend purchasing limits well above the state minimum.</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75B6" w:sz="18"/>
              <w:bottom w:val="none" w:color="FFFFFF" w:sz="0"/>
              <w:right w:val="none" w:color="FFFFFF" w:sz="0"/>
            </w:tcBorders>
            <w:shd w:fill="EBF3FB" w:val="clear"/>
            <w:tcMar>
              <w:top w:type="dxa" w:w="100"/>
              <w:left w:type="dxa" w:w="200"/>
              <w:bottom w:type="dxa" w:w="100"/>
              <w:right w:type="dxa" w:w="160"/>
            </w:tcMar>
          </w:tcPr>
          <w:p>
            <w:pPr>
              <w:spacing w:after="0" w:before="0"/>
            </w:pPr>
            <w:r>
              <w:rPr>
                <w:rFonts w:ascii="Arial" w:cs="Arial" w:eastAsia="Arial" w:hAnsi="Arial"/>
                <w:b/>
                <w:bCs/>
                <w:color w:val="1B3A6B"/>
                <w:sz w:val="20"/>
                <w:szCs w:val="20"/>
              </w:rPr>
              <w:t xml:space="preserve">Pro Tip: </w:t>
            </w:r>
            <w:r>
              <w:rPr>
                <w:rFonts w:ascii="Arial" w:cs="Arial" w:eastAsia="Arial" w:hAnsi="Arial"/>
                <w:color w:val="4A4A6A"/>
                <w:sz w:val="20"/>
                <w:szCs w:val="20"/>
              </w:rPr>
              <w:t xml:space="preserve">Consider liability limits of at least $100,000 per person / $300,000 per accident for bodily injury, and $100,000 for property damage — or higher if you have significant assets to protect.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B3A6B" w:val="clear"/>
            <w:tcMar>
              <w:top w:type="dxa" w:w="160"/>
              <w:left w:type="dxa" w:w="240"/>
              <w:bottom w:type="dxa" w:w="160"/>
              <w:right w:type="dxa" w:w="240"/>
            </w:tcMar>
          </w:tcPr>
          <w:p>
            <w:pPr>
              <w:spacing w:after="0" w:before="0"/>
            </w:pPr>
            <w:r>
              <w:rPr>
                <w:rFonts w:ascii="Arial" w:cs="Arial" w:eastAsia="Arial" w:hAnsi="Arial"/>
                <w:b/>
                <w:bCs/>
                <w:color w:val="7EB4E0"/>
                <w:sz w:val="28"/>
                <w:szCs w:val="28"/>
              </w:rPr>
              <w:t xml:space="preserve">2.  </w:t>
            </w:r>
            <w:r>
              <w:rPr>
                <w:rFonts w:ascii="Arial" w:cs="Arial" w:eastAsia="Arial" w:hAnsi="Arial"/>
                <w:b/>
                <w:bCs/>
                <w:color w:val="FFFFFF"/>
                <w:sz w:val="28"/>
                <w:szCs w:val="28"/>
              </w:rPr>
              <w:t xml:space="preserve">Collision Coverage</w:t>
            </w:r>
          </w:p>
        </w:tc>
      </w:tr>
    </w:tbl>
    <w:p>
      <w:pPr>
        <w:spacing w:after="0" w:before="100"/>
      </w:pPr>
      <w:r>
        <w:rPr>
          <w:rFonts w:ascii="Arial" w:cs="Arial" w:eastAsia="Arial" w:hAnsi="Arial"/>
        </w:rPr>
        <w:t xml:space="preserve"/>
      </w:r>
    </w:p>
    <w:p>
      <w:pPr>
        <w:spacing w:after="120" w:before="80"/>
      </w:pPr>
      <w:r>
        <w:rPr>
          <w:rFonts w:ascii="Arial" w:cs="Arial" w:eastAsia="Arial" w:hAnsi="Arial"/>
          <w:color w:val="2A2A2A"/>
          <w:sz w:val="22"/>
          <w:szCs w:val="22"/>
        </w:rPr>
        <w:t xml:space="preserve">Collision coverage pays to repair or replace your own vehicle when it is damaged as the result of a collision — regardless of who is at fault. This includes accidents with other vehicles, as well as incidents such as hitting a guardrail, tree, pothole, or any other stationary or moving object.</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0"/>
        </w:tblCellMar>
      </w:tblPr>
      <w:tblGrid>
        <w:gridCol w:w="4620"/>
        <w:gridCol w:w="4620"/>
      </w:tblGrid>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How It Works</w:t>
            </w:r>
          </w:p>
          <w:p>
            <w:pPr>
              <w:spacing w:after="0" w:before="0"/>
            </w:pPr>
            <w:r>
              <w:rPr>
                <w:rFonts w:ascii="Arial" w:cs="Arial" w:eastAsia="Arial" w:hAnsi="Arial"/>
                <w:color w:val="4A4A6A"/>
                <w:sz w:val="20"/>
                <w:szCs w:val="20"/>
              </w:rPr>
              <w:t xml:space="preserve">Your insurer pays for vehicle repairs (up to its actual cash value), minus your deductible. Deductibles typically range from $250 to $2,500 — you choose when you purchase your policy.</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When It Applies</w:t>
            </w:r>
          </w:p>
          <w:p>
            <w:pPr>
              <w:spacing w:after="0" w:before="0"/>
            </w:pPr>
            <w:r>
              <w:rPr>
                <w:rFonts w:ascii="Arial" w:cs="Arial" w:eastAsia="Arial" w:hAnsi="Arial"/>
                <w:color w:val="4A4A6A"/>
                <w:sz w:val="20"/>
                <w:szCs w:val="20"/>
              </w:rPr>
              <w:t xml:space="preserve">Collision applies whether you caused the accident, the other driver caused it, or fault cannot be determined. It also covers single-vehicle accidents such as running off the road or rolling over.</w:t>
            </w:r>
          </w:p>
        </w:tc>
      </w:tr>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Is It Required?</w:t>
            </w:r>
          </w:p>
          <w:p>
            <w:pPr>
              <w:spacing w:after="0" w:before="0"/>
            </w:pPr>
            <w:r>
              <w:rPr>
                <w:rFonts w:ascii="Arial" w:cs="Arial" w:eastAsia="Arial" w:hAnsi="Arial"/>
                <w:color w:val="4A4A6A"/>
                <w:sz w:val="20"/>
                <w:szCs w:val="20"/>
              </w:rPr>
              <w:t xml:space="preserve">Collision is not required by state law, but lenders and leasing companies almost always require it as a condition of your financing or lease agreement.</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Cost Consideration</w:t>
            </w:r>
          </w:p>
          <w:p>
            <w:pPr>
              <w:spacing w:after="0" w:before="0"/>
            </w:pPr>
            <w:r>
              <w:rPr>
                <w:rFonts w:ascii="Arial" w:cs="Arial" w:eastAsia="Arial" w:hAnsi="Arial"/>
                <w:color w:val="4A4A6A"/>
                <w:sz w:val="20"/>
                <w:szCs w:val="20"/>
              </w:rPr>
              <w:t xml:space="preserve">If your vehicle has a low market value, compare the annual premium cost to the vehicle’s actual cash value — it may not be cost-effective to carry collision on an older car.</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75B6" w:sz="18"/>
              <w:bottom w:val="none" w:color="FFFFFF" w:sz="0"/>
              <w:right w:val="none" w:color="FFFFFF" w:sz="0"/>
            </w:tcBorders>
            <w:shd w:fill="EBF3FB" w:val="clear"/>
            <w:tcMar>
              <w:top w:type="dxa" w:w="100"/>
              <w:left w:type="dxa" w:w="200"/>
              <w:bottom w:type="dxa" w:w="100"/>
              <w:right w:type="dxa" w:w="160"/>
            </w:tcMar>
          </w:tcPr>
          <w:p>
            <w:pPr>
              <w:spacing w:after="0" w:before="0"/>
            </w:pPr>
            <w:r>
              <w:rPr>
                <w:rFonts w:ascii="Arial" w:cs="Arial" w:eastAsia="Arial" w:hAnsi="Arial"/>
                <w:b/>
                <w:bCs/>
                <w:color w:val="1B3A6B"/>
                <w:sz w:val="20"/>
                <w:szCs w:val="20"/>
              </w:rPr>
              <w:t xml:space="preserve">Pro Tip: </w:t>
            </w:r>
            <w:r>
              <w:rPr>
                <w:rFonts w:ascii="Arial" w:cs="Arial" w:eastAsia="Arial" w:hAnsi="Arial"/>
                <w:color w:val="4A4A6A"/>
                <w:sz w:val="20"/>
                <w:szCs w:val="20"/>
              </w:rPr>
              <w:t xml:space="preserve">A higher deductible lowers your premium but means more out-of-pocket cost at claim time. Choose a deductible you can comfortably afford to pay if you need to file a claim.</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B3A6B" w:val="clear"/>
            <w:tcMar>
              <w:top w:type="dxa" w:w="160"/>
              <w:left w:type="dxa" w:w="240"/>
              <w:bottom w:type="dxa" w:w="160"/>
              <w:right w:type="dxa" w:w="240"/>
            </w:tcMar>
          </w:tcPr>
          <w:p>
            <w:pPr>
              <w:spacing w:after="0" w:before="0"/>
            </w:pPr>
            <w:r>
              <w:rPr>
                <w:rFonts w:ascii="Arial" w:cs="Arial" w:eastAsia="Arial" w:hAnsi="Arial"/>
                <w:b/>
                <w:bCs/>
                <w:color w:val="7EB4E0"/>
                <w:sz w:val="28"/>
                <w:szCs w:val="28"/>
              </w:rPr>
              <w:t xml:space="preserve">3.  </w:t>
            </w:r>
            <w:r>
              <w:rPr>
                <w:rFonts w:ascii="Arial" w:cs="Arial" w:eastAsia="Arial" w:hAnsi="Arial"/>
                <w:b/>
                <w:bCs/>
                <w:color w:val="FFFFFF"/>
                <w:sz w:val="28"/>
                <w:szCs w:val="28"/>
              </w:rPr>
              <w:t xml:space="preserve">Comprehensive Coverage</w:t>
            </w:r>
          </w:p>
        </w:tc>
      </w:tr>
    </w:tbl>
    <w:p>
      <w:pPr>
        <w:spacing w:after="0" w:before="100"/>
      </w:pPr>
      <w:r>
        <w:rPr>
          <w:rFonts w:ascii="Arial" w:cs="Arial" w:eastAsia="Arial" w:hAnsi="Arial"/>
        </w:rPr>
        <w:t xml:space="preserve"/>
      </w:r>
    </w:p>
    <w:p>
      <w:pPr>
        <w:spacing w:after="120" w:before="80"/>
      </w:pPr>
      <w:r>
        <w:rPr>
          <w:rFonts w:ascii="Arial" w:cs="Arial" w:eastAsia="Arial" w:hAnsi="Arial"/>
          <w:color w:val="2A2A2A"/>
          <w:sz w:val="22"/>
          <w:szCs w:val="22"/>
        </w:rPr>
        <w:t xml:space="preserve">Comprehensive coverage — sometimes called “other than collision” coverage — pays to repair or replace your vehicle when it is damaged by events that are not related to a collision. It covers a wide range of non-accident perils that are largely outside your control.</w:t>
      </w:r>
    </w:p>
    <w:p>
      <w:pPr>
        <w:spacing w:after="0" w:before="80"/>
      </w:pPr>
      <w:r>
        <w:rPr>
          <w:rFonts w:ascii="Arial" w:cs="Arial" w:eastAsia="Arial" w:hAnsi="Arial"/>
        </w:rPr>
        <w:t xml:space="preserve"/>
      </w:r>
    </w:p>
    <w:p>
      <w:pPr>
        <w:pBdr>
          <w:bottom w:val="single" w:color="D6E4F0" w:sz="4" w:space="4"/>
        </w:pBdr>
        <w:spacing w:after="80" w:before="200"/>
      </w:pPr>
      <w:r>
        <w:rPr>
          <w:rFonts w:ascii="Arial" w:cs="Arial" w:eastAsia="Arial" w:hAnsi="Arial"/>
          <w:b/>
          <w:bCs/>
          <w:color w:val="1B3A6B"/>
          <w:sz w:val="24"/>
          <w:szCs w:val="24"/>
        </w:rPr>
        <w:t xml:space="preserve">What Comprehensive Covers</w:t>
      </w:r>
    </w:p>
    <w:p>
      <w:pPr>
        <w:pStyle w:val="ListParagraph"/>
        <w:numPr>
          <w:ilvl w:val="0"/>
          <w:numId w:val="2"/>
        </w:numPr>
        <w:spacing w:after="60" w:before="60"/>
      </w:pPr>
      <w:r>
        <w:rPr>
          <w:rFonts w:ascii="Arial" w:cs="Arial" w:eastAsia="Arial" w:hAnsi="Arial"/>
          <w:b/>
          <w:bCs/>
          <w:color w:val="1B3A6B"/>
          <w:sz w:val="22"/>
          <w:szCs w:val="22"/>
        </w:rPr>
        <w:t xml:space="preserve">Theft — </w:t>
      </w:r>
      <w:r>
        <w:rPr>
          <w:rFonts w:ascii="Arial" w:cs="Arial" w:eastAsia="Arial" w:hAnsi="Arial"/>
          <w:color w:val="4A4A6A"/>
          <w:sz w:val="22"/>
          <w:szCs w:val="22"/>
        </w:rPr>
        <w:t xml:space="preserve">vehicle stolen or parts stripped</w:t>
      </w:r>
    </w:p>
    <w:p>
      <w:pPr>
        <w:pStyle w:val="ListParagraph"/>
        <w:numPr>
          <w:ilvl w:val="0"/>
          <w:numId w:val="2"/>
        </w:numPr>
        <w:spacing w:after="60" w:before="60"/>
      </w:pPr>
      <w:r>
        <w:rPr>
          <w:rFonts w:ascii="Arial" w:cs="Arial" w:eastAsia="Arial" w:hAnsi="Arial"/>
          <w:b/>
          <w:bCs/>
          <w:color w:val="1B3A6B"/>
          <w:sz w:val="22"/>
          <w:szCs w:val="22"/>
        </w:rPr>
        <w:t xml:space="preserve">Vandalism — </w:t>
      </w:r>
      <w:r>
        <w:rPr>
          <w:rFonts w:ascii="Arial" w:cs="Arial" w:eastAsia="Arial" w:hAnsi="Arial"/>
          <w:color w:val="4A4A6A"/>
          <w:sz w:val="22"/>
          <w:szCs w:val="22"/>
        </w:rPr>
        <w:t xml:space="preserve">intentional damage to your vehicle</w:t>
      </w:r>
    </w:p>
    <w:p>
      <w:pPr>
        <w:pStyle w:val="ListParagraph"/>
        <w:numPr>
          <w:ilvl w:val="0"/>
          <w:numId w:val="2"/>
        </w:numPr>
        <w:spacing w:after="60" w:before="60"/>
      </w:pPr>
      <w:r>
        <w:rPr>
          <w:rFonts w:ascii="Arial" w:cs="Arial" w:eastAsia="Arial" w:hAnsi="Arial"/>
          <w:b/>
          <w:bCs/>
          <w:color w:val="1B3A6B"/>
          <w:sz w:val="22"/>
          <w:szCs w:val="22"/>
        </w:rPr>
        <w:t xml:space="preserve">Fire &amp; explosion — </w:t>
      </w:r>
      <w:r>
        <w:rPr>
          <w:rFonts w:ascii="Arial" w:cs="Arial" w:eastAsia="Arial" w:hAnsi="Arial"/>
          <w:color w:val="4A4A6A"/>
          <w:sz w:val="22"/>
          <w:szCs w:val="22"/>
        </w:rPr>
        <w:t xml:space="preserve">from mechanical or external causes</w:t>
      </w:r>
    </w:p>
    <w:p>
      <w:pPr>
        <w:pStyle w:val="ListParagraph"/>
        <w:numPr>
          <w:ilvl w:val="0"/>
          <w:numId w:val="2"/>
        </w:numPr>
        <w:spacing w:after="60" w:before="60"/>
      </w:pPr>
      <w:r>
        <w:rPr>
          <w:rFonts w:ascii="Arial" w:cs="Arial" w:eastAsia="Arial" w:hAnsi="Arial"/>
          <w:b/>
          <w:bCs/>
          <w:color w:val="1B3A6B"/>
          <w:sz w:val="22"/>
          <w:szCs w:val="22"/>
        </w:rPr>
        <w:t xml:space="preserve">Hail, windstorms &amp; floods — </w:t>
      </w:r>
      <w:r>
        <w:rPr>
          <w:rFonts w:ascii="Arial" w:cs="Arial" w:eastAsia="Arial" w:hAnsi="Arial"/>
          <w:color w:val="4A4A6A"/>
          <w:sz w:val="22"/>
          <w:szCs w:val="22"/>
        </w:rPr>
        <w:t xml:space="preserve">severe weather events</w:t>
      </w:r>
    </w:p>
    <w:p>
      <w:pPr>
        <w:pStyle w:val="ListParagraph"/>
        <w:numPr>
          <w:ilvl w:val="0"/>
          <w:numId w:val="2"/>
        </w:numPr>
        <w:spacing w:after="60" w:before="60"/>
      </w:pPr>
      <w:r>
        <w:rPr>
          <w:rFonts w:ascii="Arial" w:cs="Arial" w:eastAsia="Arial" w:hAnsi="Arial"/>
          <w:b/>
          <w:bCs/>
          <w:color w:val="1B3A6B"/>
          <w:sz w:val="22"/>
          <w:szCs w:val="22"/>
        </w:rPr>
        <w:t xml:space="preserve">Falling objects — </w:t>
      </w:r>
      <w:r>
        <w:rPr>
          <w:rFonts w:ascii="Arial" w:cs="Arial" w:eastAsia="Arial" w:hAnsi="Arial"/>
          <w:color w:val="4A4A6A"/>
          <w:sz w:val="22"/>
          <w:szCs w:val="22"/>
        </w:rPr>
        <w:t xml:space="preserve">tree branches, debris, etc.</w:t>
      </w:r>
    </w:p>
    <w:p>
      <w:pPr>
        <w:pStyle w:val="ListParagraph"/>
        <w:numPr>
          <w:ilvl w:val="0"/>
          <w:numId w:val="2"/>
        </w:numPr>
        <w:spacing w:after="60" w:before="60"/>
      </w:pPr>
      <w:r>
        <w:rPr>
          <w:rFonts w:ascii="Arial" w:cs="Arial" w:eastAsia="Arial" w:hAnsi="Arial"/>
          <w:b/>
          <w:bCs/>
          <w:color w:val="1B3A6B"/>
          <w:sz w:val="22"/>
          <w:szCs w:val="22"/>
        </w:rPr>
        <w:t xml:space="preserve">Animal strikes — </w:t>
      </w:r>
      <w:r>
        <w:rPr>
          <w:rFonts w:ascii="Arial" w:cs="Arial" w:eastAsia="Arial" w:hAnsi="Arial"/>
          <w:color w:val="4A4A6A"/>
          <w:sz w:val="22"/>
          <w:szCs w:val="22"/>
        </w:rPr>
        <w:t xml:space="preserve">most commonly deer collisions</w:t>
      </w:r>
    </w:p>
    <w:p>
      <w:pPr>
        <w:pStyle w:val="ListParagraph"/>
        <w:numPr>
          <w:ilvl w:val="0"/>
          <w:numId w:val="2"/>
        </w:numPr>
        <w:spacing w:after="60" w:before="60"/>
      </w:pPr>
      <w:r>
        <w:rPr>
          <w:rFonts w:ascii="Arial" w:cs="Arial" w:eastAsia="Arial" w:hAnsi="Arial"/>
          <w:b/>
          <w:bCs/>
          <w:color w:val="1B3A6B"/>
          <w:sz w:val="22"/>
          <w:szCs w:val="22"/>
        </w:rPr>
        <w:t xml:space="preserve">Earthquakes — </w:t>
      </w:r>
      <w:r>
        <w:rPr>
          <w:rFonts w:ascii="Arial" w:cs="Arial" w:eastAsia="Arial" w:hAnsi="Arial"/>
          <w:color w:val="4A4A6A"/>
          <w:sz w:val="22"/>
          <w:szCs w:val="22"/>
        </w:rPr>
        <w:t xml:space="preserve">seismic damage to your vehicle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0"/>
        </w:tblCellMar>
      </w:tblPr>
      <w:tblGrid>
        <w:gridCol w:w="4620"/>
        <w:gridCol w:w="4620"/>
      </w:tblGrid>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How It Works</w:t>
            </w:r>
          </w:p>
          <w:p>
            <w:pPr>
              <w:spacing w:after="0" w:before="0"/>
            </w:pPr>
            <w:r>
              <w:rPr>
                <w:rFonts w:ascii="Arial" w:cs="Arial" w:eastAsia="Arial" w:hAnsi="Arial"/>
                <w:color w:val="4A4A6A"/>
                <w:sz w:val="20"/>
                <w:szCs w:val="20"/>
              </w:rPr>
              <w:t xml:space="preserve">Like collision, comprehensive claims are subject to your deductible. After your deductible is met, your insurer pays up to the actual cash value of your vehicle.</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Is It Required?</w:t>
            </w:r>
          </w:p>
          <w:p>
            <w:pPr>
              <w:spacing w:after="0" w:before="0"/>
            </w:pPr>
            <w:r>
              <w:rPr>
                <w:rFonts w:ascii="Arial" w:cs="Arial" w:eastAsia="Arial" w:hAnsi="Arial"/>
                <w:color w:val="4A4A6A"/>
                <w:sz w:val="20"/>
                <w:szCs w:val="20"/>
              </w:rPr>
              <w:t xml:space="preserve">Not mandated by state law, but lenders and leasing companies typically require it — just as they require collision coverage.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75B6" w:sz="18"/>
              <w:bottom w:val="none" w:color="FFFFFF" w:sz="0"/>
              <w:right w:val="none" w:color="FFFFFF" w:sz="0"/>
            </w:tcBorders>
            <w:shd w:fill="EBF3FB" w:val="clear"/>
            <w:tcMar>
              <w:top w:type="dxa" w:w="100"/>
              <w:left w:type="dxa" w:w="200"/>
              <w:bottom w:type="dxa" w:w="100"/>
              <w:right w:type="dxa" w:w="160"/>
            </w:tcMar>
          </w:tcPr>
          <w:p>
            <w:pPr>
              <w:spacing w:after="0" w:before="0"/>
            </w:pPr>
            <w:r>
              <w:rPr>
                <w:rFonts w:ascii="Arial" w:cs="Arial" w:eastAsia="Arial" w:hAnsi="Arial"/>
                <w:b/>
                <w:bCs/>
                <w:color w:val="1B3A6B"/>
                <w:sz w:val="20"/>
                <w:szCs w:val="20"/>
              </w:rPr>
              <w:t xml:space="preserve">Pro Tip: </w:t>
            </w:r>
            <w:r>
              <w:rPr>
                <w:rFonts w:ascii="Arial" w:cs="Arial" w:eastAsia="Arial" w:hAnsi="Arial"/>
                <w:color w:val="4A4A6A"/>
                <w:sz w:val="20"/>
                <w:szCs w:val="20"/>
              </w:rPr>
              <w:t xml:space="preserve">Comprehensive and collision coverage are often referred to collectively as “physical damage” coverage. Most lenders require both if you are financing or leasing your vehicle.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B3A6B" w:val="clear"/>
            <w:tcMar>
              <w:top w:type="dxa" w:w="160"/>
              <w:left w:type="dxa" w:w="240"/>
              <w:bottom w:type="dxa" w:w="160"/>
              <w:right w:type="dxa" w:w="240"/>
            </w:tcMar>
          </w:tcPr>
          <w:p>
            <w:pPr>
              <w:spacing w:after="0" w:before="0"/>
            </w:pPr>
            <w:r>
              <w:rPr>
                <w:rFonts w:ascii="Arial" w:cs="Arial" w:eastAsia="Arial" w:hAnsi="Arial"/>
                <w:b/>
                <w:bCs/>
                <w:color w:val="7EB4E0"/>
                <w:sz w:val="28"/>
                <w:szCs w:val="28"/>
              </w:rPr>
              <w:t xml:space="preserve">4.  </w:t>
            </w:r>
            <w:r>
              <w:rPr>
                <w:rFonts w:ascii="Arial" w:cs="Arial" w:eastAsia="Arial" w:hAnsi="Arial"/>
                <w:b/>
                <w:bCs/>
                <w:color w:val="FFFFFF"/>
                <w:sz w:val="28"/>
                <w:szCs w:val="28"/>
              </w:rPr>
              <w:t xml:space="preserve">Uninsured Motorist Coverage (UM)</w:t>
            </w:r>
          </w:p>
        </w:tc>
      </w:tr>
    </w:tbl>
    <w:p>
      <w:pPr>
        <w:spacing w:after="0" w:before="100"/>
      </w:pPr>
      <w:r>
        <w:rPr>
          <w:rFonts w:ascii="Arial" w:cs="Arial" w:eastAsia="Arial" w:hAnsi="Arial"/>
        </w:rPr>
        <w:t xml:space="preserve"/>
      </w:r>
    </w:p>
    <w:p>
      <w:pPr>
        <w:spacing w:after="120" w:before="80"/>
      </w:pPr>
      <w:r>
        <w:rPr>
          <w:rFonts w:ascii="Arial" w:cs="Arial" w:eastAsia="Arial" w:hAnsi="Arial"/>
          <w:color w:val="2A2A2A"/>
          <w:sz w:val="22"/>
          <w:szCs w:val="22"/>
        </w:rPr>
        <w:t xml:space="preserve">Uninsured motorist (UM) coverage protects you when you are involved in an accident caused by a driver who has no auto insurance at all. Despite insurance being legally required in most states, a significant percentage of drivers on the road remain uninsured.</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0"/>
        </w:tblCellMar>
      </w:tblPr>
      <w:tblGrid>
        <w:gridCol w:w="4620"/>
        <w:gridCol w:w="4620"/>
      </w:tblGrid>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What UM Covers</w:t>
            </w:r>
          </w:p>
          <w:p>
            <w:pPr>
              <w:spacing w:after="0" w:before="0"/>
            </w:pPr>
            <w:r>
              <w:rPr>
                <w:rFonts w:ascii="Arial" w:cs="Arial" w:eastAsia="Arial" w:hAnsi="Arial"/>
                <w:color w:val="4A4A6A"/>
                <w:sz w:val="20"/>
                <w:szCs w:val="20"/>
              </w:rPr>
              <w:t xml:space="preserve">Your medical expenses, lost wages, pain and suffering, and in some states vehicle damage — when the at-fault driver has no insurance and cannot pay for your losses.</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Hit-and-Run Accidents</w:t>
            </w:r>
          </w:p>
          <w:p>
            <w:pPr>
              <w:spacing w:after="0" w:before="0"/>
            </w:pPr>
            <w:r>
              <w:rPr>
                <w:rFonts w:ascii="Arial" w:cs="Arial" w:eastAsia="Arial" w:hAnsi="Arial"/>
                <w:color w:val="4A4A6A"/>
                <w:sz w:val="20"/>
                <w:szCs w:val="20"/>
              </w:rPr>
              <w:t xml:space="preserve">In many states, UM coverage also applies to hit-and-run accidents where the at-fault driver flees the scene and cannot be identified.</w:t>
            </w:r>
          </w:p>
        </w:tc>
      </w:tr>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UM Property Damage (UMPD)</w:t>
            </w:r>
          </w:p>
          <w:p>
            <w:pPr>
              <w:spacing w:after="0" w:before="0"/>
            </w:pPr>
            <w:r>
              <w:rPr>
                <w:rFonts w:ascii="Arial" w:cs="Arial" w:eastAsia="Arial" w:hAnsi="Arial"/>
                <w:color w:val="4A4A6A"/>
                <w:sz w:val="20"/>
                <w:szCs w:val="20"/>
              </w:rPr>
              <w:t xml:space="preserve">Some states offer or require UMPD, which specifically covers damage to your vehicle caused by an uninsured driver — separate from UM bodily injury coverage.</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State Requirements</w:t>
            </w:r>
          </w:p>
          <w:p>
            <w:pPr>
              <w:spacing w:after="0" w:before="0"/>
            </w:pPr>
            <w:r>
              <w:rPr>
                <w:rFonts w:ascii="Arial" w:cs="Arial" w:eastAsia="Arial" w:hAnsi="Arial"/>
                <w:color w:val="4A4A6A"/>
                <w:sz w:val="20"/>
                <w:szCs w:val="20"/>
              </w:rPr>
              <w:t xml:space="preserve">Some states require UM coverage; others make it optional. Even where optional, UM is widely recommended given the high number of uninsured drivers nationwide.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75B6" w:sz="18"/>
              <w:bottom w:val="none" w:color="FFFFFF" w:sz="0"/>
              <w:right w:val="none" w:color="FFFFFF" w:sz="0"/>
            </w:tcBorders>
            <w:shd w:fill="EBF3FB" w:val="clear"/>
            <w:tcMar>
              <w:top w:type="dxa" w:w="100"/>
              <w:left w:type="dxa" w:w="200"/>
              <w:bottom w:type="dxa" w:w="100"/>
              <w:right w:type="dxa" w:w="160"/>
            </w:tcMar>
          </w:tcPr>
          <w:p>
            <w:pPr>
              <w:spacing w:after="0" w:before="0"/>
            </w:pPr>
            <w:r>
              <w:rPr>
                <w:rFonts w:ascii="Arial" w:cs="Arial" w:eastAsia="Arial" w:hAnsi="Arial"/>
                <w:b/>
                <w:bCs/>
                <w:color w:val="1B3A6B"/>
                <w:sz w:val="20"/>
                <w:szCs w:val="20"/>
              </w:rPr>
              <w:t xml:space="preserve">Pro Tip: </w:t>
            </w:r>
            <w:r>
              <w:rPr>
                <w:rFonts w:ascii="Arial" w:cs="Arial" w:eastAsia="Arial" w:hAnsi="Arial"/>
                <w:color w:val="4A4A6A"/>
                <w:sz w:val="20"/>
                <w:szCs w:val="20"/>
              </w:rPr>
              <w:t xml:space="preserve">Roughly 1 in 8 drivers in the United States is uninsured. UM coverage is a relatively low-cost addition to your policy that can provide critical financial protection when you need it most.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B3A6B" w:val="clear"/>
            <w:tcMar>
              <w:top w:type="dxa" w:w="160"/>
              <w:left w:type="dxa" w:w="240"/>
              <w:bottom w:type="dxa" w:w="160"/>
              <w:right w:type="dxa" w:w="240"/>
            </w:tcMar>
          </w:tcPr>
          <w:p>
            <w:pPr>
              <w:spacing w:after="0" w:before="0"/>
            </w:pPr>
            <w:r>
              <w:rPr>
                <w:rFonts w:ascii="Arial" w:cs="Arial" w:eastAsia="Arial" w:hAnsi="Arial"/>
                <w:b/>
                <w:bCs/>
                <w:color w:val="7EB4E0"/>
                <w:sz w:val="28"/>
                <w:szCs w:val="28"/>
              </w:rPr>
              <w:t xml:space="preserve">5.  </w:t>
            </w:r>
            <w:r>
              <w:rPr>
                <w:rFonts w:ascii="Arial" w:cs="Arial" w:eastAsia="Arial" w:hAnsi="Arial"/>
                <w:b/>
                <w:bCs/>
                <w:color w:val="FFFFFF"/>
                <w:sz w:val="28"/>
                <w:szCs w:val="28"/>
              </w:rPr>
              <w:t xml:space="preserve">Underinsured Motorist Coverage (UIM)</w:t>
            </w:r>
          </w:p>
        </w:tc>
      </w:tr>
    </w:tbl>
    <w:p>
      <w:pPr>
        <w:spacing w:after="0" w:before="100"/>
      </w:pPr>
      <w:r>
        <w:rPr>
          <w:rFonts w:ascii="Arial" w:cs="Arial" w:eastAsia="Arial" w:hAnsi="Arial"/>
        </w:rPr>
        <w:t xml:space="preserve"/>
      </w:r>
    </w:p>
    <w:p>
      <w:pPr>
        <w:spacing w:after="120" w:before="80"/>
      </w:pPr>
      <w:r>
        <w:rPr>
          <w:rFonts w:ascii="Arial" w:cs="Arial" w:eastAsia="Arial" w:hAnsi="Arial"/>
          <w:color w:val="2A2A2A"/>
          <w:sz w:val="22"/>
          <w:szCs w:val="22"/>
        </w:rPr>
        <w:t xml:space="preserve">Underinsured motorist (UIM) coverage protects you when the at-fault driver does have insurance — but their liability limits are not high enough to cover the full extent of your damages and losses. Many drivers carry only the state minimum liability limits, which can be far too low in a serious accident.</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0"/>
        </w:tblCellMar>
      </w:tblPr>
      <w:tblGrid>
        <w:gridCol w:w="4620"/>
        <w:gridCol w:w="4620"/>
      </w:tblGrid>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How UIM Works</w:t>
            </w:r>
          </w:p>
          <w:p>
            <w:pPr>
              <w:spacing w:after="0" w:before="0"/>
            </w:pPr>
            <w:r>
              <w:rPr>
                <w:rFonts w:ascii="Arial" w:cs="Arial" w:eastAsia="Arial" w:hAnsi="Arial"/>
                <w:color w:val="4A4A6A"/>
                <w:sz w:val="20"/>
                <w:szCs w:val="20"/>
              </w:rPr>
              <w:t xml:space="preserve">When the other driver’s liability limits are exhausted and you still have unpaid medical bills, lost income, or other damages, your UIM coverage steps in to cover the remaining balance — up to your own UIM policy limits.</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UM vs. UIM</w:t>
            </w:r>
          </w:p>
          <w:p>
            <w:pPr>
              <w:spacing w:after="0" w:before="0"/>
            </w:pPr>
            <w:r>
              <w:rPr>
                <w:rFonts w:ascii="Arial" w:cs="Arial" w:eastAsia="Arial" w:hAnsi="Arial"/>
                <w:color w:val="4A4A6A"/>
                <w:sz w:val="20"/>
                <w:szCs w:val="20"/>
              </w:rPr>
              <w:t xml:space="preserve">UM applies when the other driver has no insurance. UIM applies when they have some insurance, but not enough. Many policies offer both together as a combined coverage.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860B" w:sz="18"/>
              <w:bottom w:val="none" w:color="FFFFFF" w:sz="0"/>
              <w:right w:val="none" w:color="FFFFFF" w:sz="0"/>
            </w:tcBorders>
            <w:shd w:fill="FFF8E6" w:val="clear"/>
            <w:tcMar>
              <w:top w:type="dxa" w:w="100"/>
              <w:left w:type="dxa" w:w="200"/>
              <w:bottom w:type="dxa" w:w="100"/>
              <w:right w:type="dxa" w:w="160"/>
            </w:tcMar>
          </w:tcPr>
          <w:p>
            <w:pPr>
              <w:spacing w:after="60" w:before="0"/>
            </w:pPr>
            <w:r>
              <w:rPr>
                <w:rFonts w:ascii="Arial" w:cs="Arial" w:eastAsia="Arial" w:hAnsi="Arial"/>
                <w:b/>
                <w:bCs/>
                <w:caps/>
                <w:color w:val="B8860B"/>
                <w:sz w:val="19"/>
                <w:szCs w:val="19"/>
              </w:rPr>
              <w:t xml:space="preserve">Real-World Example</w:t>
            </w:r>
          </w:p>
          <w:p>
            <w:pPr>
              <w:spacing w:after="0" w:before="0"/>
            </w:pPr>
            <w:r>
              <w:rPr>
                <w:rFonts w:ascii="Arial" w:cs="Arial" w:eastAsia="Arial" w:hAnsi="Arial"/>
                <w:color w:val="4A3800"/>
                <w:sz w:val="20"/>
                <w:szCs w:val="20"/>
              </w:rPr>
              <w:t xml:space="preserve">Suppose you sustain $150,000 in medical expenses after a serious accident. The at-fault driver carries only $50,000 in bodily injury liability. Your UIM coverage would help cover the remaining $100,000 gap — up to your UIM policy limit.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75B6" w:sz="18"/>
              <w:bottom w:val="none" w:color="FFFFFF" w:sz="0"/>
              <w:right w:val="none" w:color="FFFFFF" w:sz="0"/>
            </w:tcBorders>
            <w:shd w:fill="EBF3FB" w:val="clear"/>
            <w:tcMar>
              <w:top w:type="dxa" w:w="100"/>
              <w:left w:type="dxa" w:w="200"/>
              <w:bottom w:type="dxa" w:w="100"/>
              <w:right w:type="dxa" w:w="160"/>
            </w:tcMar>
          </w:tcPr>
          <w:p>
            <w:pPr>
              <w:spacing w:after="0" w:before="0"/>
            </w:pPr>
            <w:r>
              <w:rPr>
                <w:rFonts w:ascii="Arial" w:cs="Arial" w:eastAsia="Arial" w:hAnsi="Arial"/>
                <w:b/>
                <w:bCs/>
                <w:color w:val="1B3A6B"/>
                <w:sz w:val="20"/>
                <w:szCs w:val="20"/>
              </w:rPr>
              <w:t xml:space="preserve">Pro Tip: </w:t>
            </w:r>
            <w:r>
              <w:rPr>
                <w:rFonts w:ascii="Arial" w:cs="Arial" w:eastAsia="Arial" w:hAnsi="Arial"/>
                <w:color w:val="4A4A6A"/>
                <w:sz w:val="20"/>
                <w:szCs w:val="20"/>
              </w:rPr>
              <w:t xml:space="preserve">UIM limits should ideally match your bodily injury liability limits. If you carry $300,000 in bodily injury liability, consider matching that with $300,000 in UIM coverage for consistent protection.</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B3A6B" w:val="clear"/>
            <w:tcMar>
              <w:top w:type="dxa" w:w="160"/>
              <w:left w:type="dxa" w:w="240"/>
              <w:bottom w:type="dxa" w:w="160"/>
              <w:right w:type="dxa" w:w="240"/>
            </w:tcMar>
          </w:tcPr>
          <w:p>
            <w:pPr>
              <w:spacing w:after="0" w:before="0"/>
            </w:pPr>
            <w:r>
              <w:rPr>
                <w:rFonts w:ascii="Arial" w:cs="Arial" w:eastAsia="Arial" w:hAnsi="Arial"/>
                <w:b/>
                <w:bCs/>
                <w:color w:val="7EB4E0"/>
                <w:sz w:val="28"/>
                <w:szCs w:val="28"/>
              </w:rPr>
              <w:t xml:space="preserve">6.  </w:t>
            </w:r>
            <w:r>
              <w:rPr>
                <w:rFonts w:ascii="Arial" w:cs="Arial" w:eastAsia="Arial" w:hAnsi="Arial"/>
                <w:b/>
                <w:bCs/>
                <w:color w:val="FFFFFF"/>
                <w:sz w:val="28"/>
                <w:szCs w:val="28"/>
              </w:rPr>
              <w:t xml:space="preserve">Personal Injury Protection (PIP)</w:t>
            </w:r>
          </w:p>
        </w:tc>
      </w:tr>
    </w:tbl>
    <w:p>
      <w:pPr>
        <w:spacing w:after="0" w:before="100"/>
      </w:pPr>
      <w:r>
        <w:rPr>
          <w:rFonts w:ascii="Arial" w:cs="Arial" w:eastAsia="Arial" w:hAnsi="Arial"/>
        </w:rPr>
        <w:t xml:space="preserve"/>
      </w:r>
    </w:p>
    <w:p>
      <w:pPr>
        <w:spacing w:after="120" w:before="80"/>
      </w:pPr>
      <w:r>
        <w:rPr>
          <w:rFonts w:ascii="Arial" w:cs="Arial" w:eastAsia="Arial" w:hAnsi="Arial"/>
          <w:color w:val="2A2A2A"/>
          <w:sz w:val="22"/>
          <w:szCs w:val="22"/>
        </w:rPr>
        <w:t xml:space="preserve">Personal injury protection (PIP) — often called “no-fault” coverage — pays for your medical expenses and certain other losses after an auto accident, regardless of who was at fault. PIP is required in no-fault states and optional in others.</w:t>
      </w:r>
    </w:p>
    <w:p>
      <w:pPr>
        <w:spacing w:after="0" w:before="80"/>
      </w:pPr>
      <w:r>
        <w:rPr>
          <w:rFonts w:ascii="Arial" w:cs="Arial" w:eastAsia="Arial" w:hAnsi="Arial"/>
        </w:rPr>
        <w:t xml:space="preserve"/>
      </w:r>
    </w:p>
    <w:p>
      <w:pPr>
        <w:pBdr>
          <w:bottom w:val="single" w:color="D6E4F0" w:sz="4" w:space="4"/>
        </w:pBdr>
        <w:spacing w:after="80" w:before="200"/>
      </w:pPr>
      <w:r>
        <w:rPr>
          <w:rFonts w:ascii="Arial" w:cs="Arial" w:eastAsia="Arial" w:hAnsi="Arial"/>
          <w:b/>
          <w:bCs/>
          <w:color w:val="1B3A6B"/>
          <w:sz w:val="24"/>
          <w:szCs w:val="24"/>
        </w:rPr>
        <w:t xml:space="preserve">What PIP Typically Covers</w:t>
      </w:r>
    </w:p>
    <w:p>
      <w:pPr>
        <w:pStyle w:val="ListParagraph"/>
        <w:numPr>
          <w:ilvl w:val="0"/>
          <w:numId w:val="2"/>
        </w:numPr>
        <w:spacing w:after="60" w:before="60"/>
      </w:pPr>
      <w:r>
        <w:rPr>
          <w:rFonts w:ascii="Arial" w:cs="Arial" w:eastAsia="Arial" w:hAnsi="Arial"/>
          <w:b/>
          <w:bCs/>
          <w:color w:val="1B3A6B"/>
          <w:sz w:val="22"/>
          <w:szCs w:val="22"/>
        </w:rPr>
        <w:t xml:space="preserve">Medical expenses — </w:t>
      </w:r>
      <w:r>
        <w:rPr>
          <w:rFonts w:ascii="Arial" w:cs="Arial" w:eastAsia="Arial" w:hAnsi="Arial"/>
          <w:color w:val="4A4A6A"/>
          <w:sz w:val="22"/>
          <w:szCs w:val="22"/>
        </w:rPr>
        <w:t xml:space="preserve">for you and your passengers</w:t>
      </w:r>
    </w:p>
    <w:p>
      <w:pPr>
        <w:pStyle w:val="ListParagraph"/>
        <w:numPr>
          <w:ilvl w:val="0"/>
          <w:numId w:val="2"/>
        </w:numPr>
        <w:spacing w:after="60" w:before="60"/>
      </w:pPr>
      <w:r>
        <w:rPr>
          <w:rFonts w:ascii="Arial" w:cs="Arial" w:eastAsia="Arial" w:hAnsi="Arial"/>
          <w:b/>
          <w:bCs/>
          <w:color w:val="1B3A6B"/>
          <w:sz w:val="22"/>
          <w:szCs w:val="22"/>
        </w:rPr>
        <w:t xml:space="preserve">Lost wages — </w:t>
      </w:r>
      <w:r>
        <w:rPr>
          <w:rFonts w:ascii="Arial" w:cs="Arial" w:eastAsia="Arial" w:hAnsi="Arial"/>
          <w:color w:val="4A4A6A"/>
          <w:sz w:val="22"/>
          <w:szCs w:val="22"/>
        </w:rPr>
        <w:t xml:space="preserve">if your injuries prevent you from working</w:t>
      </w:r>
    </w:p>
    <w:p>
      <w:pPr>
        <w:pStyle w:val="ListParagraph"/>
        <w:numPr>
          <w:ilvl w:val="0"/>
          <w:numId w:val="2"/>
        </w:numPr>
        <w:spacing w:after="60" w:before="60"/>
      </w:pPr>
      <w:r>
        <w:rPr>
          <w:rFonts w:ascii="Arial" w:cs="Arial" w:eastAsia="Arial" w:hAnsi="Arial"/>
          <w:b/>
          <w:bCs/>
          <w:color w:val="1B3A6B"/>
          <w:sz w:val="22"/>
          <w:szCs w:val="22"/>
        </w:rPr>
        <w:t xml:space="preserve">Rehabilitation costs — </w:t>
      </w:r>
      <w:r>
        <w:rPr>
          <w:rFonts w:ascii="Arial" w:cs="Arial" w:eastAsia="Arial" w:hAnsi="Arial"/>
          <w:color w:val="4A4A6A"/>
          <w:sz w:val="22"/>
          <w:szCs w:val="22"/>
        </w:rPr>
        <w:t xml:space="preserve">for ongoing recovery</w:t>
      </w:r>
    </w:p>
    <w:p>
      <w:pPr>
        <w:pStyle w:val="ListParagraph"/>
        <w:numPr>
          <w:ilvl w:val="0"/>
          <w:numId w:val="2"/>
        </w:numPr>
        <w:spacing w:after="60" w:before="60"/>
      </w:pPr>
      <w:r>
        <w:rPr>
          <w:rFonts w:ascii="Arial" w:cs="Arial" w:eastAsia="Arial" w:hAnsi="Arial"/>
          <w:b/>
          <w:bCs/>
          <w:color w:val="1B3A6B"/>
          <w:sz w:val="22"/>
          <w:szCs w:val="22"/>
        </w:rPr>
        <w:t xml:space="preserve">Household services — </w:t>
      </w:r>
      <w:r>
        <w:rPr>
          <w:rFonts w:ascii="Arial" w:cs="Arial" w:eastAsia="Arial" w:hAnsi="Arial"/>
          <w:color w:val="4A4A6A"/>
          <w:sz w:val="22"/>
          <w:szCs w:val="22"/>
        </w:rPr>
        <w:t xml:space="preserve">you can no longer perform due to injuries</w:t>
      </w:r>
    </w:p>
    <w:p>
      <w:pPr>
        <w:pStyle w:val="ListParagraph"/>
        <w:numPr>
          <w:ilvl w:val="0"/>
          <w:numId w:val="2"/>
        </w:numPr>
        <w:spacing w:after="60" w:before="60"/>
      </w:pPr>
      <w:r>
        <w:rPr>
          <w:rFonts w:ascii="Arial" w:cs="Arial" w:eastAsia="Arial" w:hAnsi="Arial"/>
          <w:b/>
          <w:bCs/>
          <w:color w:val="1B3A6B"/>
          <w:sz w:val="22"/>
          <w:szCs w:val="22"/>
        </w:rPr>
        <w:t xml:space="preserve">Funeral expenses — </w:t>
      </w:r>
      <w:r>
        <w:rPr>
          <w:rFonts w:ascii="Arial" w:cs="Arial" w:eastAsia="Arial" w:hAnsi="Arial"/>
          <w:color w:val="4A4A6A"/>
          <w:sz w:val="22"/>
          <w:szCs w:val="22"/>
        </w:rPr>
        <w:t xml:space="preserve">in the event of a fatality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0"/>
        </w:tblCellMar>
      </w:tblPr>
      <w:tblGrid>
        <w:gridCol w:w="4620"/>
        <w:gridCol w:w="4620"/>
      </w:tblGrid>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No-Fault States</w:t>
            </w:r>
          </w:p>
          <w:p>
            <w:pPr>
              <w:spacing w:after="0" w:before="0"/>
            </w:pPr>
            <w:r>
              <w:rPr>
                <w:rFonts w:ascii="Arial" w:cs="Arial" w:eastAsia="Arial" w:hAnsi="Arial"/>
                <w:color w:val="4A4A6A"/>
                <w:sz w:val="20"/>
                <w:szCs w:val="20"/>
              </w:rPr>
              <w:t xml:space="preserve">In no-fault states, drivers are required to carry PIP and must file medical claims with their own insurer after an accident — regardless of fault. This reduces the volume of liability lawsuits for minor injuries.</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Tort (Fault) States</w:t>
            </w:r>
          </w:p>
          <w:p>
            <w:pPr>
              <w:spacing w:after="0" w:before="0"/>
            </w:pPr>
            <w:r>
              <w:rPr>
                <w:rFonts w:ascii="Arial" w:cs="Arial" w:eastAsia="Arial" w:hAnsi="Arial"/>
                <w:color w:val="4A4A6A"/>
                <w:sz w:val="20"/>
                <w:szCs w:val="20"/>
              </w:rPr>
              <w:t xml:space="preserve">In traditional fault-based states, PIP may be available as an optional add-on. Even in tort states, PIP can provide faster access to medical coverage while fault is being determined.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75B6" w:sz="18"/>
              <w:bottom w:val="none" w:color="FFFFFF" w:sz="0"/>
              <w:right w:val="none" w:color="FFFFFF" w:sz="0"/>
            </w:tcBorders>
            <w:shd w:fill="EBF3FB" w:val="clear"/>
            <w:tcMar>
              <w:top w:type="dxa" w:w="100"/>
              <w:left w:type="dxa" w:w="200"/>
              <w:bottom w:type="dxa" w:w="100"/>
              <w:right w:type="dxa" w:w="160"/>
            </w:tcMar>
          </w:tcPr>
          <w:p>
            <w:pPr>
              <w:spacing w:after="0" w:before="0"/>
            </w:pPr>
            <w:r>
              <w:rPr>
                <w:rFonts w:ascii="Arial" w:cs="Arial" w:eastAsia="Arial" w:hAnsi="Arial"/>
                <w:b/>
                <w:bCs/>
                <w:color w:val="1B3A6B"/>
                <w:sz w:val="20"/>
                <w:szCs w:val="20"/>
              </w:rPr>
              <w:t xml:space="preserve">Pro Tip: </w:t>
            </w:r>
            <w:r>
              <w:rPr>
                <w:rFonts w:ascii="Arial" w:cs="Arial" w:eastAsia="Arial" w:hAnsi="Arial"/>
                <w:color w:val="4A4A6A"/>
                <w:sz w:val="20"/>
                <w:szCs w:val="20"/>
              </w:rPr>
              <w:t xml:space="preserve">Even if you have strong health insurance, PIP covers non-medical expenses like lost wages and household services that health insurance does not — making it valuable regardless of your health plan quality.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B3A6B" w:val="clear"/>
            <w:tcMar>
              <w:top w:type="dxa" w:w="160"/>
              <w:left w:type="dxa" w:w="240"/>
              <w:bottom w:type="dxa" w:w="160"/>
              <w:right w:type="dxa" w:w="240"/>
            </w:tcMar>
          </w:tcPr>
          <w:p>
            <w:pPr>
              <w:spacing w:after="0" w:before="0"/>
            </w:pPr>
            <w:r>
              <w:rPr>
                <w:rFonts w:ascii="Arial" w:cs="Arial" w:eastAsia="Arial" w:hAnsi="Arial"/>
                <w:b/>
                <w:bCs/>
                <w:color w:val="7EB4E0"/>
                <w:sz w:val="28"/>
                <w:szCs w:val="28"/>
              </w:rPr>
              <w:t xml:space="preserve">7.  </w:t>
            </w:r>
            <w:r>
              <w:rPr>
                <w:rFonts w:ascii="Arial" w:cs="Arial" w:eastAsia="Arial" w:hAnsi="Arial"/>
                <w:b/>
                <w:bCs/>
                <w:color w:val="FFFFFF"/>
                <w:sz w:val="28"/>
                <w:szCs w:val="28"/>
              </w:rPr>
              <w:t xml:space="preserve">Medical Payments Coverage (MedPay)</w:t>
            </w:r>
          </w:p>
        </w:tc>
      </w:tr>
    </w:tbl>
    <w:p>
      <w:pPr>
        <w:spacing w:after="0" w:before="100"/>
      </w:pPr>
      <w:r>
        <w:rPr>
          <w:rFonts w:ascii="Arial" w:cs="Arial" w:eastAsia="Arial" w:hAnsi="Arial"/>
        </w:rPr>
        <w:t xml:space="preserve"/>
      </w:r>
    </w:p>
    <w:p>
      <w:pPr>
        <w:spacing w:after="120" w:before="80"/>
      </w:pPr>
      <w:r>
        <w:rPr>
          <w:rFonts w:ascii="Arial" w:cs="Arial" w:eastAsia="Arial" w:hAnsi="Arial"/>
          <w:color w:val="2A2A2A"/>
          <w:sz w:val="22"/>
          <w:szCs w:val="22"/>
        </w:rPr>
        <w:t xml:space="preserve">Medical payments coverage (MedPay) pays for medical expenses for you and your passengers after an auto accident, regardless of fault. It is similar to PIP but simpler in scope — covering only medical expenses without the income replacement or household services components.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0"/>
        </w:tblCellMar>
      </w:tblPr>
      <w:tblGrid>
        <w:gridCol w:w="4620"/>
        <w:gridCol w:w="4620"/>
      </w:tblGrid>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What MedPay Covers</w:t>
            </w:r>
          </w:p>
          <w:p>
            <w:pPr>
              <w:spacing w:after="0" w:before="0"/>
            </w:pPr>
            <w:r>
              <w:rPr>
                <w:rFonts w:ascii="Arial" w:cs="Arial" w:eastAsia="Arial" w:hAnsi="Arial"/>
                <w:color w:val="4A4A6A"/>
                <w:sz w:val="20"/>
                <w:szCs w:val="20"/>
              </w:rPr>
              <w:t xml:space="preserve">Hospital visits, surgery, X-rays, ambulance services, dental procedures related to the accident, and funeral costs. It covers you and your passengers in your vehicle.</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What MedPay Does NOT Cover</w:t>
            </w:r>
          </w:p>
          <w:p>
            <w:pPr>
              <w:spacing w:after="0" w:before="0"/>
            </w:pPr>
            <w:r>
              <w:rPr>
                <w:rFonts w:ascii="Arial" w:cs="Arial" w:eastAsia="Arial" w:hAnsi="Arial"/>
                <w:color w:val="4A4A6A"/>
                <w:sz w:val="20"/>
                <w:szCs w:val="20"/>
              </w:rPr>
              <w:t xml:space="preserve">Unlike PIP, MedPay does not cover lost wages, rehabilitation services, or household services. It is strictly a medical expense coverage with no income replacement component.</w:t>
            </w:r>
          </w:p>
        </w:tc>
      </w:tr>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MedPay vs. PIP</w:t>
            </w:r>
          </w:p>
          <w:p>
            <w:pPr>
              <w:spacing w:after="0" w:before="0"/>
            </w:pPr>
            <w:r>
              <w:rPr>
                <w:rFonts w:ascii="Arial" w:cs="Arial" w:eastAsia="Arial" w:hAnsi="Arial"/>
                <w:color w:val="4A4A6A"/>
                <w:sz w:val="20"/>
                <w:szCs w:val="20"/>
              </w:rPr>
              <w:t xml:space="preserve">MedPay is available in most states, including those without PIP. Limits are generally lower — common increments are $1,000, $2,500, or $5,000. PIP offers broader protection where available.</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Health Insurance Coordination</w:t>
            </w:r>
          </w:p>
          <w:p>
            <w:pPr>
              <w:spacing w:after="0" w:before="0"/>
            </w:pPr>
            <w:r>
              <w:rPr>
                <w:rFonts w:ascii="Arial" w:cs="Arial" w:eastAsia="Arial" w:hAnsi="Arial"/>
                <w:color w:val="4A4A6A"/>
                <w:sz w:val="20"/>
                <w:szCs w:val="20"/>
              </w:rPr>
              <w:t xml:space="preserve">MedPay can serve as primary or supplemental coverage depending on your health plan. It can help cover co-pays, deductibles, and expenses your health insurer may not fully cover.</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75B6" w:sz="18"/>
              <w:bottom w:val="none" w:color="FFFFFF" w:sz="0"/>
              <w:right w:val="none" w:color="FFFFFF" w:sz="0"/>
            </w:tcBorders>
            <w:shd w:fill="EBF3FB" w:val="clear"/>
            <w:tcMar>
              <w:top w:type="dxa" w:w="100"/>
              <w:left w:type="dxa" w:w="200"/>
              <w:bottom w:type="dxa" w:w="100"/>
              <w:right w:type="dxa" w:w="160"/>
            </w:tcMar>
          </w:tcPr>
          <w:p>
            <w:pPr>
              <w:spacing w:after="0" w:before="0"/>
            </w:pPr>
            <w:r>
              <w:rPr>
                <w:rFonts w:ascii="Arial" w:cs="Arial" w:eastAsia="Arial" w:hAnsi="Arial"/>
                <w:b/>
                <w:bCs/>
                <w:color w:val="1B3A6B"/>
                <w:sz w:val="20"/>
                <w:szCs w:val="20"/>
              </w:rPr>
              <w:t xml:space="preserve">Pro Tip: </w:t>
            </w:r>
            <w:r>
              <w:rPr>
                <w:rFonts w:ascii="Arial" w:cs="Arial" w:eastAsia="Arial" w:hAnsi="Arial"/>
                <w:color w:val="4A4A6A"/>
                <w:sz w:val="20"/>
                <w:szCs w:val="20"/>
              </w:rPr>
              <w:t xml:space="preserve">MedPay is a relatively inexpensive coverage that provides immediate access to medical expense reimbursement after an accident — without waiting for a fault determination or filing a claim against another driver.</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B3A6B" w:val="clear"/>
            <w:tcMar>
              <w:top w:type="dxa" w:w="160"/>
              <w:left w:type="dxa" w:w="240"/>
              <w:bottom w:type="dxa" w:w="160"/>
              <w:right w:type="dxa" w:w="240"/>
            </w:tcMar>
          </w:tcPr>
          <w:p>
            <w:pPr>
              <w:spacing w:after="0" w:before="0"/>
            </w:pPr>
            <w:r>
              <w:rPr>
                <w:rFonts w:ascii="Arial" w:cs="Arial" w:eastAsia="Arial" w:hAnsi="Arial"/>
                <w:b/>
                <w:bCs/>
                <w:color w:val="7EB4E0"/>
                <w:sz w:val="28"/>
                <w:szCs w:val="28"/>
              </w:rPr>
              <w:t xml:space="preserve">8.  </w:t>
            </w:r>
            <w:r>
              <w:rPr>
                <w:rFonts w:ascii="Arial" w:cs="Arial" w:eastAsia="Arial" w:hAnsi="Arial"/>
                <w:b/>
                <w:bCs/>
                <w:color w:val="FFFFFF"/>
                <w:sz w:val="28"/>
                <w:szCs w:val="28"/>
              </w:rPr>
              <w:t xml:space="preserve">Gap Insurance</w:t>
            </w:r>
          </w:p>
        </w:tc>
      </w:tr>
    </w:tbl>
    <w:p>
      <w:pPr>
        <w:spacing w:after="0" w:before="100"/>
      </w:pPr>
      <w:r>
        <w:rPr>
          <w:rFonts w:ascii="Arial" w:cs="Arial" w:eastAsia="Arial" w:hAnsi="Arial"/>
        </w:rPr>
        <w:t xml:space="preserve"/>
      </w:r>
    </w:p>
    <w:p>
      <w:pPr>
        <w:spacing w:after="120" w:before="80"/>
      </w:pPr>
      <w:r>
        <w:rPr>
          <w:rFonts w:ascii="Arial" w:cs="Arial" w:eastAsia="Arial" w:hAnsi="Arial"/>
          <w:color w:val="2A2A2A"/>
          <w:sz w:val="22"/>
          <w:szCs w:val="22"/>
        </w:rPr>
        <w:t xml:space="preserve">Gap insurance — Guaranteed Asset Protection — covers the difference (or “gap”) between what you owe on your auto loan or lease and the actual cash value (ACV) of your vehicle if it is totaled or stolen. New vehicles depreciate rapidly, often losing 15–25% of their value in the first year alone.</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860B" w:sz="18"/>
              <w:bottom w:val="none" w:color="FFFFFF" w:sz="0"/>
              <w:right w:val="none" w:color="FFFFFF" w:sz="0"/>
            </w:tcBorders>
            <w:shd w:fill="FFF8E6" w:val="clear"/>
            <w:tcMar>
              <w:top w:type="dxa" w:w="100"/>
              <w:left w:type="dxa" w:w="200"/>
              <w:bottom w:type="dxa" w:w="100"/>
              <w:right w:type="dxa" w:w="160"/>
            </w:tcMar>
          </w:tcPr>
          <w:p>
            <w:pPr>
              <w:spacing w:after="60" w:before="0"/>
            </w:pPr>
            <w:r>
              <w:rPr>
                <w:rFonts w:ascii="Arial" w:cs="Arial" w:eastAsia="Arial" w:hAnsi="Arial"/>
                <w:b/>
                <w:bCs/>
                <w:caps/>
                <w:color w:val="B8860B"/>
                <w:sz w:val="19"/>
                <w:szCs w:val="19"/>
              </w:rPr>
              <w:t xml:space="preserve">How the Gap Works</w:t>
            </w:r>
          </w:p>
          <w:p>
            <w:pPr>
              <w:spacing w:after="0" w:before="0"/>
            </w:pPr>
            <w:r>
              <w:rPr>
                <w:rFonts w:ascii="Arial" w:cs="Arial" w:eastAsia="Arial" w:hAnsi="Arial"/>
                <w:color w:val="4A3800"/>
                <w:sz w:val="20"/>
                <w:szCs w:val="20"/>
              </w:rPr>
              <w:t xml:space="preserve">If your vehicle is totaled and your insurer pays out its actual cash value of $22,000 — but you still owe $27,000 on your loan — you would be responsible for the $5,000 difference without gap coverage. Gap insurance covers that $5,000 shortfall so you are not paying for a vehicle you can no longer drive.</w:t>
            </w:r>
          </w:p>
        </w:tc>
      </w:tr>
    </w:tbl>
    <w:p>
      <w:pPr>
        <w:spacing w:after="0" w:before="120"/>
      </w:pPr>
      <w:r>
        <w:rPr>
          <w:rFonts w:ascii="Arial" w:cs="Arial" w:eastAsia="Arial" w:hAnsi="Arial"/>
        </w:rPr>
        <w:t xml:space="preserve"/>
      </w:r>
    </w:p>
    <w:p>
      <w:pPr>
        <w:pBdr>
          <w:bottom w:val="single" w:color="D6E4F0" w:sz="4" w:space="4"/>
        </w:pBdr>
        <w:spacing w:after="80" w:before="200"/>
      </w:pPr>
      <w:r>
        <w:rPr>
          <w:rFonts w:ascii="Arial" w:cs="Arial" w:eastAsia="Arial" w:hAnsi="Arial"/>
          <w:b/>
          <w:bCs/>
          <w:color w:val="1B3A6B"/>
          <w:sz w:val="24"/>
          <w:szCs w:val="24"/>
        </w:rPr>
        <w:t xml:space="preserve">Who Needs Gap Insurance Most</w:t>
      </w:r>
    </w:p>
    <w:p>
      <w:pPr>
        <w:pStyle w:val="ListParagraph"/>
        <w:numPr>
          <w:ilvl w:val="0"/>
          <w:numId w:val="2"/>
        </w:numPr>
        <w:spacing w:after="60" w:before="60"/>
      </w:pPr>
      <w:r>
        <w:rPr>
          <w:rFonts w:ascii="Arial" w:cs="Arial" w:eastAsia="Arial" w:hAnsi="Arial"/>
          <w:b/>
          <w:bCs/>
          <w:color w:val="1B3A6B"/>
          <w:sz w:val="22"/>
          <w:szCs w:val="22"/>
        </w:rPr>
        <w:t xml:space="preserve">Small down payment buyers — </w:t>
      </w:r>
      <w:r>
        <w:rPr>
          <w:rFonts w:ascii="Arial" w:cs="Arial" w:eastAsia="Arial" w:hAnsi="Arial"/>
          <w:color w:val="4A4A6A"/>
          <w:sz w:val="22"/>
          <w:szCs w:val="22"/>
        </w:rPr>
        <w:t xml:space="preserve">financed with less than 20% down</w:t>
      </w:r>
    </w:p>
    <w:p>
      <w:pPr>
        <w:pStyle w:val="ListParagraph"/>
        <w:numPr>
          <w:ilvl w:val="0"/>
          <w:numId w:val="2"/>
        </w:numPr>
        <w:spacing w:after="60" w:before="60"/>
      </w:pPr>
      <w:r>
        <w:rPr>
          <w:rFonts w:ascii="Arial" w:cs="Arial" w:eastAsia="Arial" w:hAnsi="Arial"/>
          <w:b/>
          <w:bCs/>
          <w:color w:val="1B3A6B"/>
          <w:sz w:val="22"/>
          <w:szCs w:val="22"/>
        </w:rPr>
        <w:t xml:space="preserve">Long-term financing — </w:t>
      </w:r>
      <w:r>
        <w:rPr>
          <w:rFonts w:ascii="Arial" w:cs="Arial" w:eastAsia="Arial" w:hAnsi="Arial"/>
          <w:color w:val="4A4A6A"/>
          <w:sz w:val="22"/>
          <w:szCs w:val="22"/>
        </w:rPr>
        <w:t xml:space="preserve">loans of 60 months or more</w:t>
      </w:r>
    </w:p>
    <w:p>
      <w:pPr>
        <w:pStyle w:val="ListParagraph"/>
        <w:numPr>
          <w:ilvl w:val="0"/>
          <w:numId w:val="2"/>
        </w:numPr>
        <w:spacing w:after="60" w:before="60"/>
      </w:pPr>
      <w:r>
        <w:rPr>
          <w:rFonts w:ascii="Arial" w:cs="Arial" w:eastAsia="Arial" w:hAnsi="Arial"/>
          <w:b/>
          <w:bCs/>
          <w:color w:val="1B3A6B"/>
          <w:sz w:val="22"/>
          <w:szCs w:val="22"/>
        </w:rPr>
        <w:t xml:space="preserve">Fast-depreciating vehicles — </w:t>
      </w:r>
      <w:r>
        <w:rPr>
          <w:rFonts w:ascii="Arial" w:cs="Arial" w:eastAsia="Arial" w:hAnsi="Arial"/>
          <w:color w:val="4A4A6A"/>
          <w:sz w:val="22"/>
          <w:szCs w:val="22"/>
        </w:rPr>
        <w:t xml:space="preserve">certain makes and models lose value quickly</w:t>
      </w:r>
    </w:p>
    <w:p>
      <w:pPr>
        <w:pStyle w:val="ListParagraph"/>
        <w:numPr>
          <w:ilvl w:val="0"/>
          <w:numId w:val="2"/>
        </w:numPr>
        <w:spacing w:after="60" w:before="60"/>
      </w:pPr>
      <w:r>
        <w:rPr>
          <w:rFonts w:ascii="Arial" w:cs="Arial" w:eastAsia="Arial" w:hAnsi="Arial"/>
          <w:b/>
          <w:bCs/>
          <w:color w:val="1B3A6B"/>
          <w:sz w:val="22"/>
          <w:szCs w:val="22"/>
        </w:rPr>
        <w:t xml:space="preserve">Negative equity rollovers — </w:t>
      </w:r>
      <w:r>
        <w:rPr>
          <w:rFonts w:ascii="Arial" w:cs="Arial" w:eastAsia="Arial" w:hAnsi="Arial"/>
          <w:color w:val="4A4A6A"/>
          <w:sz w:val="22"/>
          <w:szCs w:val="22"/>
        </w:rPr>
        <w:t xml:space="preserve">rolled a prior loan balance into a new vehicle</w:t>
      </w:r>
    </w:p>
    <w:p>
      <w:pPr>
        <w:pStyle w:val="ListParagraph"/>
        <w:numPr>
          <w:ilvl w:val="0"/>
          <w:numId w:val="2"/>
        </w:numPr>
        <w:spacing w:after="60" w:before="60"/>
      </w:pPr>
      <w:r>
        <w:rPr>
          <w:rFonts w:ascii="Arial" w:cs="Arial" w:eastAsia="Arial" w:hAnsi="Arial"/>
          <w:b/>
          <w:bCs/>
          <w:color w:val="1B3A6B"/>
          <w:sz w:val="22"/>
          <w:szCs w:val="22"/>
        </w:rPr>
        <w:t xml:space="preserve">Lease holders — </w:t>
      </w:r>
      <w:r>
        <w:rPr>
          <w:rFonts w:ascii="Arial" w:cs="Arial" w:eastAsia="Arial" w:hAnsi="Arial"/>
          <w:color w:val="4A4A6A"/>
          <w:sz w:val="22"/>
          <w:szCs w:val="22"/>
        </w:rPr>
        <w:t xml:space="preserve">typically required by leasing companies</w:t>
      </w:r>
    </w:p>
    <w:p>
      <w:pPr>
        <w:spacing w:after="0" w:before="100"/>
      </w:pPr>
      <w:r>
        <w:rPr>
          <w:rFonts w:ascii="Arial" w:cs="Arial" w:eastAsia="Arial" w:hAnsi="Arial"/>
        </w:rPr>
        <w:t xml:space="preserve"/>
      </w:r>
    </w:p>
    <w:p>
      <w:pPr>
        <w:spacing w:after="100" w:before="80"/>
      </w:pPr>
      <w:r>
        <w:rPr>
          <w:rFonts w:ascii="Arial" w:cs="Arial" w:eastAsia="Arial" w:hAnsi="Arial"/>
          <w:b/>
          <w:bCs/>
          <w:color w:val="1B3A6B"/>
          <w:sz w:val="22"/>
          <w:szCs w:val="22"/>
        </w:rPr>
        <w:t xml:space="preserve">Where to Buy:  </w:t>
      </w:r>
      <w:r>
        <w:rPr>
          <w:rFonts w:ascii="Arial" w:cs="Arial" w:eastAsia="Arial" w:hAnsi="Arial"/>
          <w:color w:val="4A4A6A"/>
          <w:sz w:val="22"/>
          <w:szCs w:val="22"/>
        </w:rPr>
        <w:t xml:space="preserve">Gap insurance can be purchased through your auto insurer (often the most affordable option), through the dealership at time of purchase, or through your lender. Always compare costs — dealer-sourced gap coverage is often significantly more expensive than purchasing through your insurer.</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75B6" w:sz="18"/>
              <w:bottom w:val="none" w:color="FFFFFF" w:sz="0"/>
              <w:right w:val="none" w:color="FFFFFF" w:sz="0"/>
            </w:tcBorders>
            <w:shd w:fill="EBF3FB" w:val="clear"/>
            <w:tcMar>
              <w:top w:type="dxa" w:w="100"/>
              <w:left w:type="dxa" w:w="200"/>
              <w:bottom w:type="dxa" w:w="100"/>
              <w:right w:type="dxa" w:w="160"/>
            </w:tcMar>
          </w:tcPr>
          <w:p>
            <w:pPr>
              <w:spacing w:after="0" w:before="0"/>
            </w:pPr>
            <w:r>
              <w:rPr>
                <w:rFonts w:ascii="Arial" w:cs="Arial" w:eastAsia="Arial" w:hAnsi="Arial"/>
                <w:b/>
                <w:bCs/>
                <w:color w:val="1B3A6B"/>
                <w:sz w:val="20"/>
                <w:szCs w:val="20"/>
              </w:rPr>
              <w:t xml:space="preserve">Pro Tip: </w:t>
            </w:r>
            <w:r>
              <w:rPr>
                <w:rFonts w:ascii="Arial" w:cs="Arial" w:eastAsia="Arial" w:hAnsi="Arial"/>
                <w:color w:val="4A4A6A"/>
                <w:sz w:val="20"/>
                <w:szCs w:val="20"/>
              </w:rPr>
              <w:t xml:space="preserve">Gap insurance is typically only needed for the first few years of ownership — until you build enough equity that your loan balance no longer exceeds your car’s market value. Once the loan drops below the vehicle’s value, gap coverage may no longer be necessary.</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B3A6B" w:val="clear"/>
            <w:tcMar>
              <w:top w:type="dxa" w:w="160"/>
              <w:left w:type="dxa" w:w="240"/>
              <w:bottom w:type="dxa" w:w="160"/>
              <w:right w:type="dxa" w:w="240"/>
            </w:tcMar>
          </w:tcPr>
          <w:p>
            <w:pPr>
              <w:spacing w:after="0" w:before="0"/>
            </w:pPr>
            <w:r>
              <w:rPr>
                <w:rFonts w:ascii="Arial" w:cs="Arial" w:eastAsia="Arial" w:hAnsi="Arial"/>
                <w:b/>
                <w:bCs/>
                <w:color w:val="7EB4E0"/>
                <w:sz w:val="28"/>
                <w:szCs w:val="28"/>
              </w:rPr>
              <w:t xml:space="preserve">9.  </w:t>
            </w:r>
            <w:r>
              <w:rPr>
                <w:rFonts w:ascii="Arial" w:cs="Arial" w:eastAsia="Arial" w:hAnsi="Arial"/>
                <w:b/>
                <w:bCs/>
                <w:color w:val="FFFFFF"/>
                <w:sz w:val="28"/>
                <w:szCs w:val="28"/>
              </w:rPr>
              <w:t xml:space="preserve">Full Coverage vs. Minimum Coverage</w:t>
            </w:r>
          </w:p>
        </w:tc>
      </w:tr>
    </w:tbl>
    <w:p>
      <w:pPr>
        <w:spacing w:after="0" w:before="100"/>
      </w:pPr>
      <w:r>
        <w:rPr>
          <w:rFonts w:ascii="Arial" w:cs="Arial" w:eastAsia="Arial" w:hAnsi="Arial"/>
        </w:rPr>
        <w:t xml:space="preserve"/>
      </w:r>
    </w:p>
    <w:p>
      <w:pPr>
        <w:spacing w:after="120" w:before="80"/>
      </w:pPr>
      <w:r>
        <w:rPr>
          <w:rFonts w:ascii="Arial" w:cs="Arial" w:eastAsia="Arial" w:hAnsi="Arial"/>
          <w:color w:val="2A2A2A"/>
          <w:sz w:val="22"/>
          <w:szCs w:val="22"/>
        </w:rPr>
        <w:t xml:space="preserve">Two terms that come up constantly in auto insurance discussions are “full coverage” and “minimum coverage.” Understanding the difference between these two approaches is essential to making sure you are adequately — and not just legally — protected on the road.</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3380"/>
        <w:gridCol w:w="3380"/>
      </w:tblGrid>
      <w:tr>
        <w:trPr>
          <w:tblHeader/>
        </w:trPr>
        <w:tc>
          <w:tcPr>
            <w:tcW w:type="dxa" w:w="2600"/>
            <w:tcBorders>
              <w:top w:val="single" w:color="FFFFFF" w:sz="1"/>
              <w:left w:val="single" w:color="FFFFFF" w:sz="1"/>
              <w:bottom w:val="single" w:color="FFFFFF" w:sz="1"/>
              <w:right w:val="single" w:color="FFFFFF" w:sz="1"/>
            </w:tcBorders>
            <w:shd w:fill="1B3A6B"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380"/>
            <w:tcBorders>
              <w:top w:val="single" w:color="FFFFFF" w:sz="1"/>
              <w:left w:val="single" w:color="FFFFFF" w:sz="1"/>
              <w:bottom w:val="single" w:color="FFFFFF" w:sz="1"/>
              <w:right w:val="single" w:color="FFFFFF" w:sz="1"/>
            </w:tcBorders>
            <w:shd w:fill="1B3A6B"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Minimum Coverage</w:t>
            </w:r>
          </w:p>
        </w:tc>
        <w:tc>
          <w:tcPr>
            <w:tcW w:type="dxa" w:w="3380"/>
            <w:tcBorders>
              <w:top w:val="single" w:color="FFFFFF" w:sz="1"/>
              <w:left w:val="single" w:color="FFFFFF" w:sz="1"/>
              <w:bottom w:val="single" w:color="FFFFFF" w:sz="1"/>
              <w:right w:val="single" w:color="FFFFFF" w:sz="1"/>
            </w:tcBorders>
            <w:shd w:fill="1B3A6B"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Full Coverage</w:t>
            </w:r>
          </w:p>
        </w:tc>
      </w:tr>
      <w:tr>
        <w:tc>
          <w:tcPr>
            <w:tcW w:type="dxa" w:w="2600"/>
            <w:tcBorders>
              <w:top w:val="single" w:color="D0D8EC" w:sz="1"/>
              <w:left w:val="single" w:color="D0D8EC" w:sz="1"/>
              <w:bottom w:val="single" w:color="D0D8EC" w:sz="1"/>
              <w:right w:val="single" w:color="D0D8EC" w:sz="1"/>
            </w:tcBorders>
            <w:shd w:fill="FFFFFF" w:val="clear"/>
            <w:tcMar>
              <w:top w:type="dxa" w:w="80"/>
              <w:left w:type="dxa" w:w="160"/>
              <w:bottom w:type="dxa" w:w="80"/>
              <w:right w:type="dxa" w:w="160"/>
            </w:tcMar>
          </w:tcPr>
          <w:p>
            <w:pPr>
              <w:spacing w:after="0" w:before="0"/>
            </w:pPr>
            <w:r>
              <w:rPr>
                <w:rFonts w:ascii="Arial" w:cs="Arial" w:eastAsia="Arial" w:hAnsi="Arial"/>
                <w:b/>
                <w:bCs/>
                <w:color w:val="1A1A2E"/>
                <w:sz w:val="20"/>
                <w:szCs w:val="20"/>
              </w:rPr>
              <w:t xml:space="preserve">Liability (BI &amp; PD)</w:t>
            </w:r>
          </w:p>
        </w:tc>
        <w:tc>
          <w:tcPr>
            <w:tcW w:type="dxa" w:w="3380"/>
            <w:tcBorders>
              <w:top w:val="single" w:color="D0D8EC" w:sz="1"/>
              <w:left w:val="single" w:color="D0D8EC" w:sz="1"/>
              <w:bottom w:val="single" w:color="D0D8EC" w:sz="1"/>
              <w:right w:val="single" w:color="D0D8E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State minimum only</w:t>
            </w:r>
          </w:p>
        </w:tc>
        <w:tc>
          <w:tcPr>
            <w:tcW w:type="dxa" w:w="3380"/>
            <w:tcBorders>
              <w:top w:val="single" w:color="D0D8EC" w:sz="1"/>
              <w:left w:val="single" w:color="D0D8EC" w:sz="1"/>
              <w:bottom w:val="single" w:color="D0D8EC" w:sz="1"/>
              <w:right w:val="single" w:color="D0D8E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Recommended higher limits</w:t>
            </w:r>
          </w:p>
        </w:tc>
      </w:tr>
      <w:tr>
        <w:tc>
          <w:tcPr>
            <w:tcW w:type="dxa" w:w="2600"/>
            <w:tcBorders>
              <w:top w:val="single" w:color="D0D8EC" w:sz="1"/>
              <w:left w:val="single" w:color="D0D8EC" w:sz="1"/>
              <w:bottom w:val="single" w:color="D0D8EC" w:sz="1"/>
              <w:right w:val="single" w:color="D0D8EC" w:sz="1"/>
            </w:tcBorders>
            <w:shd w:fill="F7F8FC" w:val="clear"/>
            <w:tcMar>
              <w:top w:type="dxa" w:w="80"/>
              <w:left w:type="dxa" w:w="160"/>
              <w:bottom w:type="dxa" w:w="80"/>
              <w:right w:type="dxa" w:w="160"/>
            </w:tcMar>
          </w:tcPr>
          <w:p>
            <w:pPr>
              <w:spacing w:after="0" w:before="0"/>
            </w:pPr>
            <w:r>
              <w:rPr>
                <w:rFonts w:ascii="Arial" w:cs="Arial" w:eastAsia="Arial" w:hAnsi="Arial"/>
                <w:b/>
                <w:bCs/>
                <w:color w:val="1A1A2E"/>
                <w:sz w:val="20"/>
                <w:szCs w:val="20"/>
              </w:rPr>
              <w:t xml:space="preserve">Collision</w:t>
            </w:r>
          </w:p>
        </w:tc>
        <w:tc>
          <w:tcPr>
            <w:tcW w:type="dxa" w:w="3380"/>
            <w:tcBorders>
              <w:top w:val="single" w:color="D0D8EC" w:sz="1"/>
              <w:left w:val="single" w:color="D0D8EC" w:sz="1"/>
              <w:bottom w:val="single" w:color="D0D8EC" w:sz="1"/>
              <w:right w:val="single" w:color="D0D8EC" w:sz="1"/>
            </w:tcBorders>
            <w:shd w:fill="F7F8FC"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Not included</w:t>
            </w:r>
          </w:p>
        </w:tc>
        <w:tc>
          <w:tcPr>
            <w:tcW w:type="dxa" w:w="3380"/>
            <w:tcBorders>
              <w:top w:val="single" w:color="D0D8EC" w:sz="1"/>
              <w:left w:val="single" w:color="D0D8EC" w:sz="1"/>
              <w:bottom w:val="single" w:color="D0D8EC" w:sz="1"/>
              <w:right w:val="single" w:color="D0D8EC" w:sz="1"/>
            </w:tcBorders>
            <w:shd w:fill="F7F8FC"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Included</w:t>
            </w:r>
          </w:p>
        </w:tc>
      </w:tr>
      <w:tr>
        <w:tc>
          <w:tcPr>
            <w:tcW w:type="dxa" w:w="2600"/>
            <w:tcBorders>
              <w:top w:val="single" w:color="D0D8EC" w:sz="1"/>
              <w:left w:val="single" w:color="D0D8EC" w:sz="1"/>
              <w:bottom w:val="single" w:color="D0D8EC" w:sz="1"/>
              <w:right w:val="single" w:color="D0D8EC" w:sz="1"/>
            </w:tcBorders>
            <w:shd w:fill="FFFFFF" w:val="clear"/>
            <w:tcMar>
              <w:top w:type="dxa" w:w="80"/>
              <w:left w:type="dxa" w:w="160"/>
              <w:bottom w:type="dxa" w:w="80"/>
              <w:right w:type="dxa" w:w="160"/>
            </w:tcMar>
          </w:tcPr>
          <w:p>
            <w:pPr>
              <w:spacing w:after="0" w:before="0"/>
            </w:pPr>
            <w:r>
              <w:rPr>
                <w:rFonts w:ascii="Arial" w:cs="Arial" w:eastAsia="Arial" w:hAnsi="Arial"/>
                <w:b/>
                <w:bCs/>
                <w:color w:val="1A1A2E"/>
                <w:sz w:val="20"/>
                <w:szCs w:val="20"/>
              </w:rPr>
              <w:t xml:space="preserve">Comprehensive</w:t>
            </w:r>
          </w:p>
        </w:tc>
        <w:tc>
          <w:tcPr>
            <w:tcW w:type="dxa" w:w="3380"/>
            <w:tcBorders>
              <w:top w:val="single" w:color="D0D8EC" w:sz="1"/>
              <w:left w:val="single" w:color="D0D8EC" w:sz="1"/>
              <w:bottom w:val="single" w:color="D0D8EC" w:sz="1"/>
              <w:right w:val="single" w:color="D0D8E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Not included</w:t>
            </w:r>
          </w:p>
        </w:tc>
        <w:tc>
          <w:tcPr>
            <w:tcW w:type="dxa" w:w="3380"/>
            <w:tcBorders>
              <w:top w:val="single" w:color="D0D8EC" w:sz="1"/>
              <w:left w:val="single" w:color="D0D8EC" w:sz="1"/>
              <w:bottom w:val="single" w:color="D0D8EC" w:sz="1"/>
              <w:right w:val="single" w:color="D0D8E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Included</w:t>
            </w:r>
          </w:p>
        </w:tc>
      </w:tr>
      <w:tr>
        <w:tc>
          <w:tcPr>
            <w:tcW w:type="dxa" w:w="2600"/>
            <w:tcBorders>
              <w:top w:val="single" w:color="D0D8EC" w:sz="1"/>
              <w:left w:val="single" w:color="D0D8EC" w:sz="1"/>
              <w:bottom w:val="single" w:color="D0D8EC" w:sz="1"/>
              <w:right w:val="single" w:color="D0D8EC" w:sz="1"/>
            </w:tcBorders>
            <w:shd w:fill="F7F8FC" w:val="clear"/>
            <w:tcMar>
              <w:top w:type="dxa" w:w="80"/>
              <w:left w:type="dxa" w:w="160"/>
              <w:bottom w:type="dxa" w:w="80"/>
              <w:right w:type="dxa" w:w="160"/>
            </w:tcMar>
          </w:tcPr>
          <w:p>
            <w:pPr>
              <w:spacing w:after="0" w:before="0"/>
            </w:pPr>
            <w:r>
              <w:rPr>
                <w:rFonts w:ascii="Arial" w:cs="Arial" w:eastAsia="Arial" w:hAnsi="Arial"/>
                <w:b/>
                <w:bCs/>
                <w:color w:val="1A1A2E"/>
                <w:sz w:val="20"/>
                <w:szCs w:val="20"/>
              </w:rPr>
              <w:t xml:space="preserve">Your vehicle damage</w:t>
            </w:r>
          </w:p>
        </w:tc>
        <w:tc>
          <w:tcPr>
            <w:tcW w:type="dxa" w:w="3380"/>
            <w:tcBorders>
              <w:top w:val="single" w:color="D0D8EC" w:sz="1"/>
              <w:left w:val="single" w:color="D0D8EC" w:sz="1"/>
              <w:bottom w:val="single" w:color="D0D8EC" w:sz="1"/>
              <w:right w:val="single" w:color="D0D8EC" w:sz="1"/>
            </w:tcBorders>
            <w:shd w:fill="F7F8FC"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Not covered</w:t>
            </w:r>
          </w:p>
        </w:tc>
        <w:tc>
          <w:tcPr>
            <w:tcW w:type="dxa" w:w="3380"/>
            <w:tcBorders>
              <w:top w:val="single" w:color="D0D8EC" w:sz="1"/>
              <w:left w:val="single" w:color="D0D8EC" w:sz="1"/>
              <w:bottom w:val="single" w:color="D0D8EC" w:sz="1"/>
              <w:right w:val="single" w:color="D0D8EC" w:sz="1"/>
            </w:tcBorders>
            <w:shd w:fill="F7F8FC"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Covered (minus deductible)</w:t>
            </w:r>
          </w:p>
        </w:tc>
      </w:tr>
      <w:tr>
        <w:tc>
          <w:tcPr>
            <w:tcW w:type="dxa" w:w="2600"/>
            <w:tcBorders>
              <w:top w:val="single" w:color="D0D8EC" w:sz="1"/>
              <w:left w:val="single" w:color="D0D8EC" w:sz="1"/>
              <w:bottom w:val="single" w:color="D0D8EC" w:sz="1"/>
              <w:right w:val="single" w:color="D0D8EC" w:sz="1"/>
            </w:tcBorders>
            <w:shd w:fill="FFFFFF" w:val="clear"/>
            <w:tcMar>
              <w:top w:type="dxa" w:w="80"/>
              <w:left w:type="dxa" w:w="160"/>
              <w:bottom w:type="dxa" w:w="80"/>
              <w:right w:type="dxa" w:w="160"/>
            </w:tcMar>
          </w:tcPr>
          <w:p>
            <w:pPr>
              <w:spacing w:after="0" w:before="0"/>
            </w:pPr>
            <w:r>
              <w:rPr>
                <w:rFonts w:ascii="Arial" w:cs="Arial" w:eastAsia="Arial" w:hAnsi="Arial"/>
                <w:b/>
                <w:bCs/>
                <w:color w:val="1A1A2E"/>
                <w:sz w:val="20"/>
                <w:szCs w:val="20"/>
              </w:rPr>
              <w:t xml:space="preserve">UM / UIM</w:t>
            </w:r>
          </w:p>
        </w:tc>
        <w:tc>
          <w:tcPr>
            <w:tcW w:type="dxa" w:w="3380"/>
            <w:tcBorders>
              <w:top w:val="single" w:color="D0D8EC" w:sz="1"/>
              <w:left w:val="single" w:color="D0D8EC" w:sz="1"/>
              <w:bottom w:val="single" w:color="D0D8EC" w:sz="1"/>
              <w:right w:val="single" w:color="D0D8E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Varies by state</w:t>
            </w:r>
          </w:p>
        </w:tc>
        <w:tc>
          <w:tcPr>
            <w:tcW w:type="dxa" w:w="3380"/>
            <w:tcBorders>
              <w:top w:val="single" w:color="D0D8EC" w:sz="1"/>
              <w:left w:val="single" w:color="D0D8EC" w:sz="1"/>
              <w:bottom w:val="single" w:color="D0D8EC" w:sz="1"/>
              <w:right w:val="single" w:color="D0D8EC"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Often added separately</w:t>
            </w:r>
          </w:p>
        </w:tc>
      </w:tr>
      <w:tr>
        <w:tc>
          <w:tcPr>
            <w:tcW w:type="dxa" w:w="2600"/>
            <w:tcBorders>
              <w:top w:val="single" w:color="D0D8EC" w:sz="1"/>
              <w:left w:val="single" w:color="D0D8EC" w:sz="1"/>
              <w:bottom w:val="single" w:color="D0D8EC" w:sz="1"/>
              <w:right w:val="single" w:color="D0D8EC" w:sz="1"/>
            </w:tcBorders>
            <w:shd w:fill="F7F8FC" w:val="clear"/>
            <w:tcMar>
              <w:top w:type="dxa" w:w="80"/>
              <w:left w:type="dxa" w:w="160"/>
              <w:bottom w:type="dxa" w:w="80"/>
              <w:right w:type="dxa" w:w="160"/>
            </w:tcMar>
          </w:tcPr>
          <w:p>
            <w:pPr>
              <w:spacing w:after="0" w:before="0"/>
            </w:pPr>
            <w:r>
              <w:rPr>
                <w:rFonts w:ascii="Arial" w:cs="Arial" w:eastAsia="Arial" w:hAnsi="Arial"/>
                <w:b/>
                <w:bCs/>
                <w:color w:val="1A1A2E"/>
                <w:sz w:val="20"/>
                <w:szCs w:val="20"/>
              </w:rPr>
              <w:t xml:space="preserve">Required for financing?</w:t>
            </w:r>
          </w:p>
        </w:tc>
        <w:tc>
          <w:tcPr>
            <w:tcW w:type="dxa" w:w="3380"/>
            <w:tcBorders>
              <w:top w:val="single" w:color="D0D8EC" w:sz="1"/>
              <w:left w:val="single" w:color="D0D8EC" w:sz="1"/>
              <w:bottom w:val="single" w:color="D0D8EC" w:sz="1"/>
              <w:right w:val="single" w:color="D0D8EC" w:sz="1"/>
            </w:tcBorders>
            <w:shd w:fill="F7F8FC"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No</w:t>
            </w:r>
          </w:p>
        </w:tc>
        <w:tc>
          <w:tcPr>
            <w:tcW w:type="dxa" w:w="3380"/>
            <w:tcBorders>
              <w:top w:val="single" w:color="D0D8EC" w:sz="1"/>
              <w:left w:val="single" w:color="D0D8EC" w:sz="1"/>
              <w:bottom w:val="single" w:color="D0D8EC" w:sz="1"/>
              <w:right w:val="single" w:color="D0D8EC" w:sz="1"/>
            </w:tcBorders>
            <w:shd w:fill="F7F8FC" w:val="clear"/>
            <w:tcMar>
              <w:top w:type="dxa" w:w="80"/>
              <w:left w:type="dxa" w:w="160"/>
              <w:bottom w:type="dxa" w:w="80"/>
              <w:right w:type="dxa" w:w="160"/>
            </w:tcMar>
          </w:tcPr>
          <w:p>
            <w:pPr>
              <w:spacing w:after="0" w:before="0"/>
            </w:pPr>
            <w:r>
              <w:rPr>
                <w:rFonts w:ascii="Arial" w:cs="Arial" w:eastAsia="Arial" w:hAnsi="Arial"/>
                <w:b w:val="false"/>
                <w:bCs w:val="false"/>
                <w:color w:val="4A4A6A"/>
                <w:sz w:val="20"/>
                <w:szCs w:val="20"/>
              </w:rPr>
              <w:t xml:space="preserve">Yes (lender requirement)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0"/>
        </w:tblCellMar>
      </w:tblPr>
      <w:tblGrid>
        <w:gridCol w:w="4620"/>
        <w:gridCol w:w="4620"/>
      </w:tblGrid>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Important Note on "Full Coverage"</w:t>
            </w:r>
          </w:p>
          <w:p>
            <w:pPr>
              <w:spacing w:after="0" w:before="0"/>
            </w:pPr>
            <w:r>
              <w:rPr>
                <w:rFonts w:ascii="Arial" w:cs="Arial" w:eastAsia="Arial" w:hAnsi="Arial"/>
                <w:color w:val="4A4A6A"/>
                <w:sz w:val="20"/>
                <w:szCs w:val="20"/>
              </w:rPr>
              <w:t xml:space="preserve">“Full coverage” is not a defined policy type — it is a colloquial term. Despite the name, it does not automatically include UM/UIM, PIP, MedPay, gap insurance, or roadside assistance. These must be specifically added to the policy.</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Who Should Carry Full Coverage</w:t>
            </w:r>
          </w:p>
          <w:p>
            <w:pPr>
              <w:spacing w:after="0" w:before="0"/>
            </w:pPr>
            <w:r>
              <w:rPr>
                <w:rFonts w:ascii="Arial" w:cs="Arial" w:eastAsia="Arial" w:hAnsi="Arial"/>
                <w:color w:val="4A4A6A"/>
                <w:sz w:val="20"/>
                <w:szCs w:val="20"/>
              </w:rPr>
              <w:t xml:space="preserve">If you have a financed or leased vehicle, your lender requires collision and comprehensive. Even for owned vehicles, full coverage is recommended when the vehicle’s value justifies the additional premium cost.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75B6" w:sz="18"/>
              <w:bottom w:val="none" w:color="FFFFFF" w:sz="0"/>
              <w:right w:val="none" w:color="FFFFFF" w:sz="0"/>
            </w:tcBorders>
            <w:shd w:fill="EBF3FB" w:val="clear"/>
            <w:tcMar>
              <w:top w:type="dxa" w:w="100"/>
              <w:left w:type="dxa" w:w="200"/>
              <w:bottom w:type="dxa" w:w="100"/>
              <w:right w:type="dxa" w:w="160"/>
            </w:tcMar>
          </w:tcPr>
          <w:p>
            <w:pPr>
              <w:spacing w:after="0" w:before="0"/>
            </w:pPr>
            <w:r>
              <w:rPr>
                <w:rFonts w:ascii="Arial" w:cs="Arial" w:eastAsia="Arial" w:hAnsi="Arial"/>
                <w:b/>
                <w:bCs/>
                <w:color w:val="1B3A6B"/>
                <w:sz w:val="20"/>
                <w:szCs w:val="20"/>
              </w:rPr>
              <w:t xml:space="preserve">Pro Tip: </w:t>
            </w:r>
            <w:r>
              <w:rPr>
                <w:rFonts w:ascii="Arial" w:cs="Arial" w:eastAsia="Arial" w:hAnsi="Arial"/>
                <w:color w:val="4A4A6A"/>
                <w:sz w:val="20"/>
                <w:szCs w:val="20"/>
              </w:rPr>
              <w:t xml:space="preserve">Do not simply ask for “full coverage” — instead, discuss each individual coverage type with your agent to ensure you are building a policy that truly meets your needs and protects your assets, not just your state’s legal minimum.</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B3A6B" w:val="clear"/>
            <w:tcMar>
              <w:top w:type="dxa" w:w="160"/>
              <w:left w:type="dxa" w:w="240"/>
              <w:bottom w:type="dxa" w:w="160"/>
              <w:right w:type="dxa" w:w="240"/>
            </w:tcMar>
          </w:tcPr>
          <w:p>
            <w:pPr>
              <w:spacing w:after="0" w:before="0"/>
            </w:pPr>
            <w:r>
              <w:rPr>
                <w:rFonts w:ascii="Arial" w:cs="Arial" w:eastAsia="Arial" w:hAnsi="Arial"/>
                <w:b/>
                <w:bCs/>
                <w:color w:val="7EB4E0"/>
                <w:sz w:val="28"/>
                <w:szCs w:val="28"/>
              </w:rPr>
              <w:t xml:space="preserve">10.  </w:t>
            </w:r>
            <w:r>
              <w:rPr>
                <w:rFonts w:ascii="Arial" w:cs="Arial" w:eastAsia="Arial" w:hAnsi="Arial"/>
                <w:b/>
                <w:bCs/>
                <w:color w:val="FFFFFF"/>
                <w:sz w:val="28"/>
                <w:szCs w:val="28"/>
              </w:rPr>
              <w:t xml:space="preserve">Split Limits vs. Combined Single Limit (CSL)</w:t>
            </w:r>
          </w:p>
        </w:tc>
      </w:tr>
    </w:tbl>
    <w:p>
      <w:pPr>
        <w:spacing w:after="0" w:before="100"/>
      </w:pPr>
      <w:r>
        <w:rPr>
          <w:rFonts w:ascii="Arial" w:cs="Arial" w:eastAsia="Arial" w:hAnsi="Arial"/>
        </w:rPr>
        <w:t xml:space="preserve"/>
      </w:r>
    </w:p>
    <w:p>
      <w:pPr>
        <w:spacing w:after="120" w:before="80"/>
      </w:pPr>
      <w:r>
        <w:rPr>
          <w:rFonts w:ascii="Arial" w:cs="Arial" w:eastAsia="Arial" w:hAnsi="Arial"/>
          <w:color w:val="2A2A2A"/>
          <w:sz w:val="22"/>
          <w:szCs w:val="22"/>
        </w:rPr>
        <w:t xml:space="preserve">When purchasing liability coverage, you will encounter two different structures for expressing your coverage limits: split limits and combined single limits (CSL). Understanding both helps you evaluate how much protection you actually have — not just how it is packaged.</w:t>
      </w:r>
    </w:p>
    <w:p>
      <w:pPr>
        <w:spacing w:after="0" w:before="80"/>
      </w:pPr>
      <w:r>
        <w:rPr>
          <w:rFonts w:ascii="Arial" w:cs="Arial" w:eastAsia="Arial" w:hAnsi="Arial"/>
        </w:rPr>
        <w:t xml:space="preserve"/>
      </w:r>
    </w:p>
    <w:p>
      <w:pPr>
        <w:pBdr>
          <w:bottom w:val="single" w:color="D6E4F0" w:sz="4" w:space="4"/>
        </w:pBdr>
        <w:spacing w:after="80" w:before="200"/>
      </w:pPr>
      <w:r>
        <w:rPr>
          <w:rFonts w:ascii="Arial" w:cs="Arial" w:eastAsia="Arial" w:hAnsi="Arial"/>
          <w:b/>
          <w:bCs/>
          <w:color w:val="1B3A6B"/>
          <w:sz w:val="24"/>
          <w:szCs w:val="24"/>
        </w:rPr>
        <w:t xml:space="preserve">Split Limits — How to Read Them</w:t>
      </w:r>
    </w:p>
    <w:p>
      <w:pPr>
        <w:spacing w:after="120" w:before="80"/>
      </w:pPr>
      <w:r>
        <w:rPr>
          <w:rFonts w:ascii="Arial" w:cs="Arial" w:eastAsia="Arial" w:hAnsi="Arial"/>
          <w:color w:val="2A2A2A"/>
          <w:sz w:val="22"/>
          <w:szCs w:val="22"/>
        </w:rPr>
        <w:t xml:space="preserve">Split limits express your liability coverage as three separate numbers, typically written as 100/300/100. Each number represents a specific cap on coverage within a single accident:</w:t>
      </w:r>
    </w:p>
    <w:p>
      <w:pPr>
        <w:spacing w:after="0" w:before="6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Borders>
              <w:top w:val="none" w:color="FFFFFF" w:sz="0"/>
              <w:left w:val="single" w:color="FFFFFF" w:sz="4"/>
              <w:bottom w:val="none" w:color="FFFFFF" w:sz="0"/>
              <w:right w:val="single" w:color="FFFFFF" w:sz="4"/>
            </w:tcBorders>
            <w:shd w:fill="0F2347" w:val="clear"/>
            <w:tcMar>
              <w:top w:type="dxa" w:w="160"/>
              <w:left w:type="dxa" w:w="120"/>
              <w:bottom w:type="dxa" w:w="160"/>
              <w:right w:type="dxa" w:w="120"/>
            </w:tcMar>
          </w:tcPr>
          <w:p>
            <w:pPr>
              <w:spacing w:after="60" w:before="0"/>
              <w:jc w:val="center"/>
            </w:pPr>
            <w:r>
              <w:rPr>
                <w:rFonts w:ascii="Arial" w:cs="Arial" w:eastAsia="Arial" w:hAnsi="Arial"/>
                <w:b/>
                <w:bCs/>
                <w:color w:val="FFFFFF"/>
                <w:sz w:val="32"/>
                <w:szCs w:val="32"/>
              </w:rPr>
              <w:t xml:space="preserve">$100,000</w:t>
            </w:r>
          </w:p>
          <w:p>
            <w:pPr>
              <w:spacing w:after="0" w:before="0"/>
              <w:jc w:val="center"/>
            </w:pPr>
            <w:r>
              <w:rPr>
                <w:rFonts w:ascii="Arial" w:cs="Arial" w:eastAsia="Arial" w:hAnsi="Arial"/>
                <w:color w:val="AACCE8"/>
                <w:sz w:val="18"/>
                <w:szCs w:val="18"/>
              </w:rPr>
              <w:t xml:space="preserve">Per Person
Bodily Injury</w:t>
            </w:r>
          </w:p>
        </w:tc>
        <w:tc>
          <w:tcPr>
            <w:tcBorders>
              <w:top w:val="none" w:color="FFFFFF" w:sz="0"/>
              <w:left w:val="single" w:color="FFFFFF" w:sz="4"/>
              <w:bottom w:val="none" w:color="FFFFFF" w:sz="0"/>
              <w:right w:val="single" w:color="FFFFFF" w:sz="4"/>
            </w:tcBorders>
            <w:shd w:fill="1B3A6B" w:val="clear"/>
            <w:tcMar>
              <w:top w:type="dxa" w:w="160"/>
              <w:left w:type="dxa" w:w="120"/>
              <w:bottom w:type="dxa" w:w="160"/>
              <w:right w:type="dxa" w:w="120"/>
            </w:tcMar>
          </w:tcPr>
          <w:p>
            <w:pPr>
              <w:spacing w:after="60" w:before="0"/>
              <w:jc w:val="center"/>
            </w:pPr>
            <w:r>
              <w:rPr>
                <w:rFonts w:ascii="Arial" w:cs="Arial" w:eastAsia="Arial" w:hAnsi="Arial"/>
                <w:b/>
                <w:bCs/>
                <w:color w:val="FFFFFF"/>
                <w:sz w:val="32"/>
                <w:szCs w:val="32"/>
              </w:rPr>
              <w:t xml:space="preserve">$300,000</w:t>
            </w:r>
          </w:p>
          <w:p>
            <w:pPr>
              <w:spacing w:after="0" w:before="0"/>
              <w:jc w:val="center"/>
            </w:pPr>
            <w:r>
              <w:rPr>
                <w:rFonts w:ascii="Arial" w:cs="Arial" w:eastAsia="Arial" w:hAnsi="Arial"/>
                <w:color w:val="AACCE8"/>
                <w:sz w:val="18"/>
                <w:szCs w:val="18"/>
              </w:rPr>
              <w:t xml:space="preserve">Per Accident
Bodily Injury Total</w:t>
            </w:r>
          </w:p>
        </w:tc>
        <w:tc>
          <w:tcPr>
            <w:tcBorders>
              <w:top w:val="none" w:color="FFFFFF" w:sz="0"/>
              <w:left w:val="single" w:color="FFFFFF" w:sz="4"/>
              <w:bottom w:val="none" w:color="FFFFFF" w:sz="0"/>
              <w:right w:val="single" w:color="FFFFFF" w:sz="4"/>
            </w:tcBorders>
            <w:shd w:fill="2E75B6" w:val="clear"/>
            <w:tcMar>
              <w:top w:type="dxa" w:w="160"/>
              <w:left w:type="dxa" w:w="120"/>
              <w:bottom w:type="dxa" w:w="160"/>
              <w:right w:type="dxa" w:w="120"/>
            </w:tcMar>
          </w:tcPr>
          <w:p>
            <w:pPr>
              <w:spacing w:after="60" w:before="0"/>
              <w:jc w:val="center"/>
            </w:pPr>
            <w:r>
              <w:rPr>
                <w:rFonts w:ascii="Arial" w:cs="Arial" w:eastAsia="Arial" w:hAnsi="Arial"/>
                <w:b/>
                <w:bCs/>
                <w:color w:val="FFFFFF"/>
                <w:sz w:val="32"/>
                <w:szCs w:val="32"/>
              </w:rPr>
              <w:t xml:space="preserve">$100,000</w:t>
            </w:r>
          </w:p>
          <w:p>
            <w:pPr>
              <w:spacing w:after="0" w:before="0"/>
              <w:jc w:val="center"/>
            </w:pPr>
            <w:r>
              <w:rPr>
                <w:rFonts w:ascii="Arial" w:cs="Arial" w:eastAsia="Arial" w:hAnsi="Arial"/>
                <w:color w:val="AACCE8"/>
                <w:sz w:val="18"/>
                <w:szCs w:val="18"/>
              </w:rPr>
              <w:t xml:space="preserve">Per Accident
Property Damage</w:t>
            </w:r>
          </w:p>
        </w:tc>
      </w:tr>
    </w:tbl>
    <w:p>
      <w:pPr>
        <w:spacing w:after="0" w:before="100"/>
      </w:pPr>
      <w:r>
        <w:rPr>
          <w:rFonts w:ascii="Arial" w:cs="Arial" w:eastAsia="Arial" w:hAnsi="Arial"/>
        </w:rPr>
        <w:t xml:space="preserve"/>
      </w:r>
    </w:p>
    <w:p>
      <w:pPr>
        <w:spacing w:after="120" w:before="80"/>
      </w:pPr>
      <w:r>
        <w:rPr>
          <w:rFonts w:ascii="Arial" w:cs="Arial" w:eastAsia="Arial" w:hAnsi="Arial"/>
          <w:color w:val="2A2A2A"/>
          <w:sz w:val="22"/>
          <w:szCs w:val="22"/>
        </w:rPr>
        <w:t xml:space="preserve">The example above shows a 100/300/100 policy. With these limits, each injured person can receive up to $100,000, the total payout for all bodily injury claims in one accident cannot exceed $300,000, and property damage claims are capped at $100,000 — regardless of total damage.</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CellMar>
          <w:top w:type="dxa" w:w="0"/>
          <w:bottom w:type="dxa" w:w="0"/>
        </w:tblCellMar>
      </w:tblPr>
      <w:tblGrid>
        <w:gridCol w:w="4620"/>
        <w:gridCol w:w="4620"/>
      </w:tblGrid>
      <w:tr>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Combined Single Limit (CSL)</w:t>
            </w:r>
          </w:p>
          <w:p>
            <w:pPr>
              <w:spacing w:after="0" w:before="0"/>
            </w:pPr>
            <w:r>
              <w:rPr>
                <w:rFonts w:ascii="Arial" w:cs="Arial" w:eastAsia="Arial" w:hAnsi="Arial"/>
                <w:color w:val="4A4A6A"/>
                <w:sz w:val="20"/>
                <w:szCs w:val="20"/>
              </w:rPr>
              <w:t xml:space="preserve">A CSL replaces the three split numbers with one single dollar amount — for example, $300,000 — that can be applied in any combination to bodily injury and property damage claims from a single accident. This offers more flexibility in how the limit is distributed across multiple claimants.</w:t>
            </w:r>
          </w:p>
        </w:tc>
        <w:tc>
          <w:tcPr>
            <w:tcW w:type="dxa" w:w="4620"/>
            <w:tcBorders>
              <w:top w:val="single" w:color="D0D8EC" w:sz="1"/>
              <w:left w:val="single" w:color="D0D8EC" w:sz="1"/>
              <w:bottom w:val="single" w:color="D0D8EC" w:sz="1"/>
              <w:right w:val="single" w:color="D0D8EC" w:sz="1"/>
            </w:tcBorders>
            <w:shd w:fill="F7F8FC" w:val="clear"/>
            <w:tcMar>
              <w:top w:type="dxa" w:w="100"/>
              <w:left w:type="dxa" w:w="160"/>
              <w:bottom w:type="dxa" w:w="100"/>
              <w:right w:type="dxa" w:w="160"/>
            </w:tcMar>
          </w:tcPr>
          <w:p>
            <w:pPr>
              <w:spacing w:after="60" w:before="0"/>
            </w:pPr>
            <w:r>
              <w:rPr>
                <w:rFonts w:ascii="Arial" w:cs="Arial" w:eastAsia="Arial" w:hAnsi="Arial"/>
                <w:b/>
                <w:bCs/>
                <w:color w:val="2E75B6"/>
                <w:sz w:val="19"/>
                <w:szCs w:val="19"/>
              </w:rPr>
              <w:t xml:space="preserve">Which Is Better?</w:t>
            </w:r>
          </w:p>
          <w:p>
            <w:pPr>
              <w:spacing w:after="0" w:before="0"/>
            </w:pPr>
            <w:r>
              <w:rPr>
                <w:rFonts w:ascii="Arial" w:cs="Arial" w:eastAsia="Arial" w:hAnsi="Arial"/>
                <w:color w:val="4A4A6A"/>
                <w:sz w:val="20"/>
                <w:szCs w:val="20"/>
              </w:rPr>
              <w:t xml:space="preserve">CSL policies offer greater flexibility since the entire limit can be directed wherever claims arise. However, CSL policies can sometimes cost more than comparable split limit policies. Split limits are more common in personal auto; CSL is more frequently used in commercial auto insurance.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B8860B" w:sz="18"/>
              <w:bottom w:val="none" w:color="FFFFFF" w:sz="0"/>
              <w:right w:val="none" w:color="FFFFFF" w:sz="0"/>
            </w:tcBorders>
            <w:shd w:fill="FFF8E6" w:val="clear"/>
            <w:tcMar>
              <w:top w:type="dxa" w:w="100"/>
              <w:left w:type="dxa" w:w="200"/>
              <w:bottom w:type="dxa" w:w="100"/>
              <w:right w:type="dxa" w:w="160"/>
            </w:tcMar>
          </w:tcPr>
          <w:p>
            <w:pPr>
              <w:spacing w:after="60" w:before="0"/>
            </w:pPr>
            <w:r>
              <w:rPr>
                <w:rFonts w:ascii="Arial" w:cs="Arial" w:eastAsia="Arial" w:hAnsi="Arial"/>
                <w:b/>
                <w:bCs/>
                <w:caps/>
                <w:color w:val="B8860B"/>
                <w:sz w:val="19"/>
                <w:szCs w:val="19"/>
              </w:rPr>
              <w:t xml:space="preserve">CSL Example</w:t>
            </w:r>
          </w:p>
          <w:p>
            <w:pPr>
              <w:spacing w:after="0" w:before="0"/>
            </w:pPr>
            <w:r>
              <w:rPr>
                <w:rFonts w:ascii="Arial" w:cs="Arial" w:eastAsia="Arial" w:hAnsi="Arial"/>
                <w:color w:val="4A3800"/>
                <w:sz w:val="20"/>
                <w:szCs w:val="20"/>
              </w:rPr>
              <w:t xml:space="preserve">A $300,000 CSL policy means your insurer will pay up to $300,000 total for all bodily injury and property damage claims combined — giving you flexibility to allocate the limit across however many claimants arise from a single accident.</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2E75B6" w:sz="18"/>
              <w:bottom w:val="none" w:color="FFFFFF" w:sz="0"/>
              <w:right w:val="none" w:color="FFFFFF" w:sz="0"/>
            </w:tcBorders>
            <w:shd w:fill="EBF3FB" w:val="clear"/>
            <w:tcMar>
              <w:top w:type="dxa" w:w="100"/>
              <w:left w:type="dxa" w:w="200"/>
              <w:bottom w:type="dxa" w:w="100"/>
              <w:right w:type="dxa" w:w="160"/>
            </w:tcMar>
          </w:tcPr>
          <w:p>
            <w:pPr>
              <w:spacing w:after="0" w:before="0"/>
            </w:pPr>
            <w:r>
              <w:rPr>
                <w:rFonts w:ascii="Arial" w:cs="Arial" w:eastAsia="Arial" w:hAnsi="Arial"/>
                <w:b/>
                <w:bCs/>
                <w:color w:val="1B3A6B"/>
                <w:sz w:val="20"/>
                <w:szCs w:val="20"/>
              </w:rPr>
              <w:t xml:space="preserve">Pro Tip: </w:t>
            </w:r>
            <w:r>
              <w:rPr>
                <w:rFonts w:ascii="Arial" w:cs="Arial" w:eastAsia="Arial" w:hAnsi="Arial"/>
                <w:color w:val="4A4A6A"/>
                <w:sz w:val="20"/>
                <w:szCs w:val="20"/>
              </w:rPr>
              <w:t xml:space="preserve">When comparing policies, do not focus solely on the premium. A CSL of $300,000 may provide more practical protection in a multi-claimant scenario than a split limit policy with the same per-accident cap — evaluate what the structure actually delivers.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1B3A6B"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Build the Right Policy for Your Situation</w:t>
            </w:r>
          </w:p>
          <w:p>
            <w:pPr>
              <w:spacing w:after="100" w:before="0"/>
            </w:pPr>
            <w:r>
              <w:rPr>
                <w:rFonts w:ascii="Arial" w:cs="Arial" w:eastAsia="Arial" w:hAnsi="Arial"/>
                <w:color w:val="CCDDEE"/>
                <w:sz w:val="22"/>
                <w:szCs w:val="22"/>
              </w:rPr>
              <w:t xml:space="preserve">Understanding the various coverages available in an auto insurance policy empowers you to make smarter decisions about the protection you carry. No two drivers have identical needs — the right combination of coverages depends on your vehicle’s value, your financial situation, your state’s requirements, and your personal tolerance for risk.</w:t>
            </w:r>
          </w:p>
          <w:p>
            <w:pPr>
              <w:spacing w:after="100" w:before="0"/>
            </w:pPr>
            <w:r>
              <w:rPr>
                <w:rFonts w:ascii="Arial" w:cs="Arial" w:eastAsia="Arial" w:hAnsi="Arial"/>
                <w:color w:val="CCDDEE"/>
                <w:sz w:val="22"/>
                <w:szCs w:val="22"/>
              </w:rPr>
              <w:t xml:space="preserve">The most important step you can take is to work with a licensed insurance professional who can review your specific situation and help you build a policy that closes the gaps most drivers do not even know they have.</w:t>
            </w:r>
          </w:p>
          <w:p>
            <w:pPr>
              <w:spacing w:after="0" w:before="0"/>
            </w:pPr>
            <w:r>
              <w:rPr>
                <w:rFonts w:ascii="Arial" w:cs="Arial" w:eastAsia="Arial" w:hAnsi="Arial"/>
                <w:b/>
                <w:bCs/>
                <w:color w:val="7EB4E0"/>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D0D8EC" w:sz="4" w:space="6"/>
        </w:pBdr>
        <w:spacing w:after="80" w:before="0"/>
      </w:pPr>
      <w:r>
        <w:rPr>
          <w:rFonts w:ascii="Arial" w:cs="Arial" w:eastAsia="Arial" w:hAnsi="Arial"/>
          <w:b/>
          <w:bCs/>
          <w:caps/>
          <w:color w:val="7A7A9A"/>
          <w:sz w:val="19"/>
          <w:szCs w:val="19"/>
        </w:rPr>
        <w:t xml:space="preserve">Disclaimer</w:t>
      </w:r>
    </w:p>
    <w:p>
      <w:pPr>
        <w:spacing w:after="120" w:before="0"/>
      </w:pPr>
      <w:r>
        <w:rPr>
          <w:rFonts w:ascii="Arial" w:cs="Arial" w:eastAsia="Arial" w:hAnsi="Arial"/>
          <w:color w:val="7A7A9A"/>
          <w:sz w:val="18"/>
          <w:szCs w:val="18"/>
        </w:rPr>
        <w:t xml:space="preserve">The information contained in this article is intended for general informational and educational purposes only and should not be construed as legal, financial, or insurance advice. It is the sole responsibility of the reader to carefully review their individual insurance policy — including all declarations pages, coverage forms, endorsements, exclusions, and conditions — to determine the exact scope of coverage applicable to their specific circumstances. Daly Insurance, Inc. and Daly &amp; Alexander Insurance make no representations or warranties of any kind regarding the completeness, accuracy, or reliability of any content published online or offline, and expressly disclaim all liability for any errors, omissions, inaccuracies, or outdated information. Coverage availability, terms, and pricing are subject to underwriting approval and vary by carrier, state, and individual circumstance.</w:t>
      </w:r>
    </w:p>
    <w:p>
      <w:pPr>
        <w:spacing w:after="0" w:before="80"/>
        <w:jc w:val="center"/>
      </w:pPr>
      <w:r>
        <w:rPr>
          <w:rFonts w:ascii="Arial" w:cs="Arial" w:eastAsia="Arial" w:hAnsi="Arial"/>
          <w:i/>
          <w:iCs/>
          <w:color w:val="7A7A9A"/>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6E4F0" w:sz="4" w:space="4"/>
      </w:pBdr>
      <w:spacing w:after="0" w:before="0"/>
    </w:pPr>
    <w:r>
      <w:rPr>
        <w:rFonts w:ascii="Arial" w:cs="Arial" w:eastAsia="Arial" w:hAnsi="Arial"/>
        <w:color w:val="7A7A9A"/>
        <w:sz w:val="16"/>
        <w:szCs w:val="16"/>
      </w:rPr>
      <w:t xml:space="preserve">Daly Insurance, Inc.  |  Daly &amp; Alexander Insurance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D6E4F0" w:sz="4" w:space="6"/>
      </w:pBdr>
      <w:spacing w:after="0" w:before="0"/>
    </w:pPr>
    <w:r>
      <w:rPr>
        <w:rFonts w:ascii="Arial" w:cs="Arial" w:eastAsia="Arial" w:hAnsi="Arial"/>
        <w:b/>
        <w:bCs/>
        <w:color w:val="1B3A6B"/>
        <w:sz w:val="18"/>
        <w:szCs w:val="18"/>
      </w:rPr>
      <w:t xml:space="preserve">AUTO INSURANCE COVERAGE GUIDE</w:t>
    </w:r>
    <w:r>
      <w:rPr>
        <w:rFonts w:ascii="Arial" w:cs="Arial" w:eastAsia="Arial" w:hAnsi="Arial"/>
        <w:color w:val="7A7A9A"/>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B3A6B"/>
      <w:sz w:val="32"/>
      <w:szCs w:val="32"/>
    </w:rPr>
  </w:style>
  <w:style w:type="paragraph" w:styleId="Heading2">
    <w:name w:val="Heading 2"/>
    <w:basedOn w:val="Normal"/>
    <w:next w:val="Normal"/>
    <w:qFormat/>
    <w:pPr>
      <w:spacing w:after="80" w:before="240"/>
      <w:outlineLvl w:val="1"/>
    </w:pPr>
    <w:rPr>
      <w:rFonts w:ascii="Arial" w:cs="Arial" w:eastAsia="Arial" w:hAnsi="Arial"/>
      <w:b/>
      <w:bCs/>
      <w:color w:val="2E75B6"/>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2026-05-06T02:45:20.157Z</dcterms:created>
  <dcterms:modified xsi:type="dcterms:W3CDTF">2026-05-06T02:45:20.172Z</dcterms:modified>
</cp:coreProperties>
</file>

<file path=docProps/custom.xml><?xml version="1.0" encoding="utf-8"?>
<Properties xmlns="http://schemas.openxmlformats.org/officeDocument/2006/custom-properties" xmlns:vt="http://schemas.openxmlformats.org/officeDocument/2006/docPropsVTypes"/>
</file>