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pBdr>
          <w:bottom w:val="single" w:color="0D6E8A" w:sz="8" w:space="8"/>
        </w:pBdr>
        <w:spacing w:after="80" w:before="0"/>
        <w:jc w:val="center"/>
      </w:pPr>
      <w:r>
        <w:rPr>
          <w:rFonts w:ascii="Arial" w:cs="Arial" w:eastAsia="Arial" w:hAnsi="Arial"/>
          <w:b/>
          <w:bCs/>
          <w:color w:val="0A2E4A"/>
          <w:sz w:val="52"/>
          <w:szCs w:val="52"/>
        </w:rPr>
        <w:t xml:space="preserve">BOAT INSURANCE GUIDE</w:t>
      </w:r>
    </w:p>
    <w:p>
      <w:pPr>
        <w:spacing w:after="60" w:before="120"/>
        <w:jc w:val="center"/>
      </w:pPr>
      <w:r>
        <w:rPr>
          <w:rFonts w:ascii="Arial" w:cs="Arial" w:eastAsia="Arial" w:hAnsi="Arial"/>
          <w:i/>
          <w:iCs/>
          <w:color w:val="2A3C4A"/>
          <w:sz w:val="26"/>
          <w:szCs w:val="26"/>
        </w:rPr>
        <w:t xml:space="preserve">Coverage, Valuation &amp; Everything Boat Owners Need to Know</w:t>
      </w:r>
    </w:p>
    <w:p>
      <w:pPr>
        <w:spacing w:after="0" w:before="0"/>
        <w:jc w:val="center"/>
      </w:pPr>
      <w:r>
        <w:rPr>
          <w:rFonts w:ascii="Arial" w:cs="Arial" w:eastAsia="Arial" w:hAnsi="Arial"/>
          <w:color w:val="6A7A88"/>
          <w:sz w:val="20"/>
          <w:szCs w:val="20"/>
        </w:rPr>
        <w:t xml:space="preserve">Daly &amp; Alexander Insurance  |  www.dalyandalexander.com</w:t>
      </w:r>
    </w:p>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0D6E8A" w:sz="18"/>
              <w:bottom w:val="none" w:color="FFFFFF" w:sz="0"/>
              <w:right w:val="none" w:color="FFFFFF" w:sz="0"/>
            </w:tcBorders>
            <w:shd w:fill="EBF4F8" w:val="clear"/>
            <w:tcMar>
              <w:top w:type="dxa" w:w="140"/>
              <w:left w:type="dxa" w:w="240"/>
              <w:bottom w:type="dxa" w:w="140"/>
              <w:right w:type="dxa" w:w="240"/>
            </w:tcMar>
          </w:tcPr>
          <w:p>
            <w:pPr>
              <w:spacing w:after="100" w:before="0"/>
            </w:pPr>
            <w:r>
              <w:rPr>
                <w:rFonts w:ascii="Arial" w:cs="Arial" w:eastAsia="Arial" w:hAnsi="Arial"/>
                <w:color w:val="2A3C4A"/>
                <w:sz w:val="22"/>
                <w:szCs w:val="22"/>
              </w:rPr>
              <w:t xml:space="preserve">Owning a boat is one of life’s great pleasures — but it comes with a set of financial risks that most boat owners significantly underestimate. A boat capsizing, a fire at the marina, a theft from the dock, or a passenger injury on the water can result in losses in the tens or hundreds of thousands of dollars. Standard homeowners insurance was not designed to handle these risks.</w:t>
            </w:r>
          </w:p>
          <w:p>
            <w:pPr>
              <w:spacing w:after="0" w:before="0"/>
            </w:pPr>
            <w:r>
              <w:rPr>
                <w:rFonts w:ascii="Arial" w:cs="Arial" w:eastAsia="Arial" w:hAnsi="Arial"/>
                <w:color w:val="2A3C4A"/>
                <w:sz w:val="22"/>
                <w:szCs w:val="22"/>
              </w:rPr>
              <w:t xml:space="preserve">This guide explains what boat insurance is, why you need it, how it works, and how to build the right coverage program for your vessel and the way you use it.</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0A2E4A" w:val="clear"/>
            <w:tcMar>
              <w:top w:type="dxa" w:w="160"/>
              <w:left w:type="dxa" w:w="240"/>
              <w:bottom w:type="dxa" w:w="160"/>
              <w:right w:type="dxa" w:w="240"/>
            </w:tcMar>
          </w:tcPr>
          <w:p>
            <w:pPr>
              <w:spacing w:after="0" w:before="0"/>
            </w:pPr>
            <w:r>
              <w:rPr>
                <w:rFonts w:ascii="Arial" w:cs="Arial" w:eastAsia="Arial" w:hAnsi="Arial"/>
                <w:b/>
                <w:bCs/>
                <w:color w:val="A8D4E0"/>
                <w:sz w:val="28"/>
                <w:szCs w:val="28"/>
              </w:rPr>
              <w:t xml:space="preserve">1.  </w:t>
            </w:r>
            <w:r>
              <w:rPr>
                <w:rFonts w:ascii="Arial" w:cs="Arial" w:eastAsia="Arial" w:hAnsi="Arial"/>
                <w:b/>
                <w:bCs/>
                <w:color w:val="FFFFFF"/>
                <w:sz w:val="28"/>
                <w:szCs w:val="28"/>
              </w:rPr>
              <w:t xml:space="preserve">What Boat Insurance Is</w:t>
            </w:r>
          </w:p>
        </w:tc>
      </w:tr>
    </w:tbl>
    <w:p>
      <w:pPr>
        <w:spacing w:after="0" w:before="100"/>
      </w:pPr>
      <w:r>
        <w:rPr>
          <w:rFonts w:ascii="Arial" w:cs="Arial" w:eastAsia="Arial" w:hAnsi="Arial"/>
        </w:rPr>
        <w:t xml:space="preserve"/>
      </w:r>
    </w:p>
    <w:p>
      <w:pPr>
        <w:spacing w:after="110" w:before="80"/>
      </w:pPr>
      <w:r>
        <w:rPr>
          <w:rFonts w:ascii="Arial" w:cs="Arial" w:eastAsia="Arial" w:hAnsi="Arial"/>
          <w:color w:val="0A1A28"/>
          <w:sz w:val="22"/>
          <w:szCs w:val="22"/>
        </w:rPr>
        <w:t xml:space="preserve">Boat insurance is a specialized form of property and liability insurance designed to protect watercraft owners from the financial consequences of accidents, damage, theft, and liability on the water. It provides coverage for the physical vessel itself, its equipment and accessories, the personal property aboard, and liability to third parties for bodily injury or property damage caused by the insured vessel or its operation.</w:t>
      </w:r>
    </w:p>
    <w:p>
      <w:pPr>
        <w:spacing w:after="0" w:before="80"/>
      </w:pPr>
      <w:r>
        <w:rPr>
          <w:rFonts w:ascii="Arial" w:cs="Arial" w:eastAsia="Arial" w:hAnsi="Arial"/>
        </w:rPr>
        <w:t xml:space="preserve"/>
      </w:r>
    </w:p>
    <w:p>
      <w:pPr>
        <w:spacing w:after="110" w:before="80"/>
      </w:pPr>
      <w:r>
        <w:rPr>
          <w:rFonts w:ascii="Arial" w:cs="Arial" w:eastAsia="Arial" w:hAnsi="Arial"/>
          <w:color w:val="0A1A28"/>
          <w:sz w:val="22"/>
          <w:szCs w:val="22"/>
        </w:rPr>
        <w:t xml:space="preserve">Boat insurance is distinct from auto insurance, homeowners insurance, and general liability insurance — each of which provides only limited or no meaningful coverage for watercraft risks. It is a purpose-built product that addresses the unique combination of mobility, environmental exposure, navigational risks, and liability scenarios that define boat ownership and operation.</w:t>
      </w:r>
    </w:p>
    <w:p>
      <w:pPr>
        <w:spacing w:after="0" w:before="10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20"/>
        <w:gridCol w:w="4620"/>
      </w:tblGrid>
      <w:tr>
        <w:tc>
          <w:tcPr>
            <w:tcW w:type="dxa" w:w="4620"/>
            <w:tcBorders>
              <w:top w:val="single" w:color="A8C0D0" w:sz="1"/>
              <w:left w:val="single" w:color="A8C0D0" w:sz="1"/>
              <w:bottom w:val="single" w:color="A8C0D0" w:sz="1"/>
              <w:right w:val="single" w:color="A8C0D0" w:sz="1"/>
            </w:tcBorders>
            <w:shd w:fill="EBF4F8" w:val="clear"/>
            <w:tcMar>
              <w:top w:type="dxa" w:w="110"/>
              <w:left w:type="dxa" w:w="160"/>
              <w:bottom w:type="dxa" w:w="110"/>
              <w:right w:type="dxa" w:w="160"/>
            </w:tcMar>
          </w:tcPr>
          <w:p>
            <w:pPr>
              <w:spacing w:after="60" w:before="0"/>
            </w:pPr>
            <w:r>
              <w:rPr>
                <w:rFonts w:ascii="Arial" w:cs="Arial" w:eastAsia="Arial" w:hAnsi="Arial"/>
                <w:b/>
                <w:bCs/>
                <w:color w:val="1A4E6A"/>
                <w:sz w:val="19"/>
                <w:szCs w:val="19"/>
              </w:rPr>
              <w:t xml:space="preserve">Core Coverage Components</w:t>
            </w:r>
          </w:p>
          <w:p>
            <w:pPr>
              <w:spacing w:after="0" w:before="0"/>
            </w:pPr>
            <w:r>
              <w:rPr>
                <w:rFonts w:ascii="Arial" w:cs="Arial" w:eastAsia="Arial" w:hAnsi="Arial"/>
                <w:color w:val="2A3C4A"/>
                <w:sz w:val="20"/>
                <w:szCs w:val="20"/>
              </w:rPr>
              <w:t xml:space="preserve">Physical damage to the vessel (collision and comprehensive), liability to third parties for bodily injury and property damage, medical payments for passengers, uninsured watercraft coverage, and optional coverages for towing, fuel spill liability, and personal effects.</w:t>
            </w:r>
          </w:p>
        </w:tc>
        <w:tc>
          <w:tcPr>
            <w:tcW w:type="dxa" w:w="4620"/>
            <w:tcBorders>
              <w:top w:val="single" w:color="A8C0D0" w:sz="1"/>
              <w:left w:val="single" w:color="A8C0D0" w:sz="1"/>
              <w:bottom w:val="single" w:color="A8C0D0" w:sz="1"/>
              <w:right w:val="single" w:color="A8C0D0" w:sz="1"/>
            </w:tcBorders>
            <w:shd w:fill="EBF4F8" w:val="clear"/>
            <w:tcMar>
              <w:top w:type="dxa" w:w="110"/>
              <w:left w:type="dxa" w:w="160"/>
              <w:bottom w:type="dxa" w:w="110"/>
              <w:right w:type="dxa" w:w="160"/>
            </w:tcMar>
          </w:tcPr>
          <w:p>
            <w:pPr>
              <w:spacing w:after="60" w:before="0"/>
            </w:pPr>
            <w:r>
              <w:rPr>
                <w:rFonts w:ascii="Arial" w:cs="Arial" w:eastAsia="Arial" w:hAnsi="Arial"/>
                <w:b/>
                <w:bCs/>
                <w:color w:val="1A4E6A"/>
                <w:sz w:val="19"/>
                <w:szCs w:val="19"/>
              </w:rPr>
              <w:t xml:space="preserve">Who Needs It</w:t>
            </w:r>
          </w:p>
          <w:p>
            <w:pPr>
              <w:spacing w:after="0" w:before="0"/>
            </w:pPr>
            <w:r>
              <w:rPr>
                <w:rFonts w:ascii="Arial" w:cs="Arial" w:eastAsia="Arial" w:hAnsi="Arial"/>
                <w:color w:val="2A3C4A"/>
                <w:sz w:val="20"/>
                <w:szCs w:val="20"/>
              </w:rPr>
              <w:t xml:space="preserve">Any owner of a motorized or sailboat — from a small fishing boat or pontoon to a cruiser or racing sailboat. Required by marinas and lenders for financed vessels, and by law in several states.</w:t>
            </w:r>
          </w:p>
        </w:tc>
      </w:tr>
      <w:tr>
        <w:tc>
          <w:tcPr>
            <w:tcW w:type="dxa" w:w="4620"/>
            <w:tcBorders>
              <w:top w:val="single" w:color="A8C0D0" w:sz="1"/>
              <w:left w:val="single" w:color="A8C0D0" w:sz="1"/>
              <w:bottom w:val="single" w:color="A8C0D0" w:sz="1"/>
              <w:right w:val="single" w:color="A8C0D0" w:sz="1"/>
            </w:tcBorders>
            <w:shd w:fill="EBF4F8" w:val="clear"/>
            <w:tcMar>
              <w:top w:type="dxa" w:w="110"/>
              <w:left w:type="dxa" w:w="160"/>
              <w:bottom w:type="dxa" w:w="110"/>
              <w:right w:type="dxa" w:w="160"/>
            </w:tcMar>
          </w:tcPr>
          <w:p>
            <w:pPr>
              <w:spacing w:after="60" w:before="0"/>
            </w:pPr>
            <w:r>
              <w:rPr>
                <w:rFonts w:ascii="Arial" w:cs="Arial" w:eastAsia="Arial" w:hAnsi="Arial"/>
                <w:b/>
                <w:bCs/>
                <w:color w:val="1A4E6A"/>
                <w:sz w:val="19"/>
                <w:szCs w:val="19"/>
              </w:rPr>
              <w:t xml:space="preserve">Who Offers It</w:t>
            </w:r>
          </w:p>
          <w:p>
            <w:pPr>
              <w:spacing w:after="0" w:before="0"/>
            </w:pPr>
            <w:r>
              <w:rPr>
                <w:rFonts w:ascii="Arial" w:cs="Arial" w:eastAsia="Arial" w:hAnsi="Arial"/>
                <w:color w:val="2A3C4A"/>
                <w:sz w:val="20"/>
                <w:szCs w:val="20"/>
              </w:rPr>
              <w:t xml:space="preserve">Boat insurance is available through specialty marine insurers, major personal lines carriers with watercraft programs (Progressive, GEICO, Markel), and through organizations such as BoatUS and Sea Tow. Policy terms and coverage quality vary significantly across carriers.</w:t>
            </w:r>
          </w:p>
        </w:tc>
        <w:tc>
          <w:tcPr>
            <w:tcW w:type="dxa" w:w="4620"/>
            <w:tcBorders>
              <w:top w:val="single" w:color="A8C0D0" w:sz="1"/>
              <w:left w:val="single" w:color="A8C0D0" w:sz="1"/>
              <w:bottom w:val="single" w:color="A8C0D0" w:sz="1"/>
              <w:right w:val="single" w:color="A8C0D0" w:sz="1"/>
            </w:tcBorders>
            <w:shd w:fill="EBF4F8" w:val="clear"/>
            <w:tcMar>
              <w:top w:type="dxa" w:w="110"/>
              <w:left w:type="dxa" w:w="160"/>
              <w:bottom w:type="dxa" w:w="110"/>
              <w:right w:type="dxa" w:w="160"/>
            </w:tcMar>
          </w:tcPr>
          <w:p>
            <w:pPr>
              <w:spacing w:after="60" w:before="0"/>
            </w:pPr>
            <w:r>
              <w:rPr>
                <w:rFonts w:ascii="Arial" w:cs="Arial" w:eastAsia="Arial" w:hAnsi="Arial"/>
                <w:b/>
                <w:bCs/>
                <w:color w:val="1A4E6A"/>
                <w:sz w:val="19"/>
                <w:szCs w:val="19"/>
              </w:rPr>
              <w:t xml:space="preserve">What Makes It Unique</w:t>
            </w:r>
          </w:p>
          <w:p>
            <w:pPr>
              <w:spacing w:after="0" w:before="0"/>
            </w:pPr>
            <w:r>
              <w:rPr>
                <w:rFonts w:ascii="Arial" w:cs="Arial" w:eastAsia="Arial" w:hAnsi="Arial"/>
                <w:color w:val="2A3C4A"/>
                <w:sz w:val="20"/>
                <w:szCs w:val="20"/>
              </w:rPr>
              <w:t xml:space="preserve">Boat insurance accounts for perils specific to watercraft — sinking, grounding, swamping, collision with underwater objects, storm damage while in slip, and environmental liability for fuel spills — that no other standard insurance product addresses.</w:t>
            </w:r>
          </w:p>
        </w:tc>
      </w:tr>
    </w:tbl>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0D6E8A" w:sz="18"/>
              <w:bottom w:val="none" w:color="FFFFFF" w:sz="0"/>
              <w:right w:val="none" w:color="FFFFFF" w:sz="0"/>
            </w:tcBorders>
            <w:shd w:fill="E8F5F8" w:val="clear"/>
            <w:tcMar>
              <w:top w:type="dxa" w:w="110"/>
              <w:left w:type="dxa" w:w="200"/>
              <w:bottom w:type="dxa" w:w="110"/>
              <w:right w:type="dxa" w:w="160"/>
            </w:tcMar>
          </w:tcPr>
          <w:p>
            <w:pPr>
              <w:spacing w:after="0" w:before="0"/>
            </w:pPr>
            <w:r>
              <w:rPr>
                <w:rFonts w:ascii="Arial" w:cs="Arial" w:eastAsia="Arial" w:hAnsi="Arial"/>
                <w:b/>
                <w:bCs/>
                <w:color w:val="1A4E6A"/>
                <w:sz w:val="20"/>
                <w:szCs w:val="20"/>
              </w:rPr>
              <w:t xml:space="preserve">Key Takeaway: </w:t>
            </w:r>
            <w:r>
              <w:rPr>
                <w:rFonts w:ascii="Arial" w:cs="Arial" w:eastAsia="Arial" w:hAnsi="Arial"/>
                <w:color w:val="2A3C4A"/>
                <w:sz w:val="20"/>
                <w:szCs w:val="20"/>
              </w:rPr>
              <w:t xml:space="preserve">Boat insurance is not a luxury — it is a financial necessity for any boat owner. The combination of high physical replacement costs, significant liability exposure on the water, and the absence of meaningful coverage under homeowners or auto policies makes dedicated boat insurance essential.</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0A2E4A" w:val="clear"/>
            <w:tcMar>
              <w:top w:type="dxa" w:w="160"/>
              <w:left w:type="dxa" w:w="240"/>
              <w:bottom w:type="dxa" w:w="160"/>
              <w:right w:type="dxa" w:w="240"/>
            </w:tcMar>
          </w:tcPr>
          <w:p>
            <w:pPr>
              <w:spacing w:after="0" w:before="0"/>
            </w:pPr>
            <w:r>
              <w:rPr>
                <w:rFonts w:ascii="Arial" w:cs="Arial" w:eastAsia="Arial" w:hAnsi="Arial"/>
                <w:b/>
                <w:bCs/>
                <w:color w:val="A8D4E0"/>
                <w:sz w:val="28"/>
                <w:szCs w:val="28"/>
              </w:rPr>
              <w:t xml:space="preserve">2.  </w:t>
            </w:r>
            <w:r>
              <w:rPr>
                <w:rFonts w:ascii="Arial" w:cs="Arial" w:eastAsia="Arial" w:hAnsi="Arial"/>
                <w:b/>
                <w:bCs/>
                <w:color w:val="FFFFFF"/>
                <w:sz w:val="28"/>
                <w:szCs w:val="28"/>
              </w:rPr>
              <w:t xml:space="preserve">Why Standard Homeowners Insurance Has Limited Boat Coverage</w:t>
            </w:r>
          </w:p>
        </w:tc>
      </w:tr>
    </w:tbl>
    <w:p>
      <w:pPr>
        <w:spacing w:after="0" w:before="100"/>
      </w:pPr>
      <w:r>
        <w:rPr>
          <w:rFonts w:ascii="Arial" w:cs="Arial" w:eastAsia="Arial" w:hAnsi="Arial"/>
        </w:rPr>
        <w:t xml:space="preserve"/>
      </w:r>
    </w:p>
    <w:p>
      <w:pPr>
        <w:spacing w:after="110" w:before="80"/>
      </w:pPr>
      <w:r>
        <w:rPr>
          <w:rFonts w:ascii="Arial" w:cs="Arial" w:eastAsia="Arial" w:hAnsi="Arial"/>
          <w:color w:val="0A1A28"/>
          <w:sz w:val="22"/>
          <w:szCs w:val="22"/>
        </w:rPr>
        <w:t xml:space="preserve">Many boat owners assume their homeowners insurance provides meaningful coverage for their vessel. This is one of the most dangerous misconceptions in personal insurance. While standard homeowners policies do include some minimal watercraft provisions, the coverage is so limited that it provides virtually no real protection for any boat worth insuring.</w:t>
      </w:r>
    </w:p>
    <w:p>
      <w:pPr>
        <w:spacing w:after="0" w:before="100"/>
      </w:pPr>
      <w:r>
        <w:rPr>
          <w:rFonts w:ascii="Arial" w:cs="Arial" w:eastAsia="Arial" w:hAnsi="Arial"/>
        </w:rPr>
        <w:t xml:space="preserve"/>
      </w:r>
    </w:p>
    <w:p>
      <w:pPr>
        <w:pBdr>
          <w:bottom w:val="single" w:color="B0CEDA" w:sz="4" w:space="4"/>
        </w:pBdr>
        <w:spacing w:after="80" w:before="220"/>
      </w:pPr>
      <w:r>
        <w:rPr>
          <w:rFonts w:ascii="Arial" w:cs="Arial" w:eastAsia="Arial" w:hAnsi="Arial"/>
          <w:b/>
          <w:bCs/>
          <w:color w:val="0A2E4A"/>
          <w:sz w:val="24"/>
          <w:szCs w:val="24"/>
        </w:rPr>
        <w:t xml:space="preserve">What Homeowners Insurance Actually Provides for Boats</w:t>
      </w:r>
    </w:p>
    <w:p>
      <w:pPr>
        <w:spacing w:after="110" w:before="80"/>
      </w:pPr>
      <w:r>
        <w:rPr>
          <w:rFonts w:ascii="Arial" w:cs="Arial" w:eastAsia="Arial" w:hAnsi="Arial"/>
          <w:color w:val="0A1A28"/>
          <w:sz w:val="22"/>
          <w:szCs w:val="22"/>
        </w:rPr>
        <w:t xml:space="preserve">A standard homeowners policy typically includes a very limited watercraft provision that covers small, low-powered vessels under a set of highly restrictive conditions. The typical homeowners watercraft coverage includes:</w:t>
      </w:r>
    </w:p>
    <w:p>
      <w:pPr>
        <w:spacing w:after="0" w:before="60"/>
      </w:pPr>
      <w:r>
        <w:rPr>
          <w:rFonts w:ascii="Arial" w:cs="Arial" w:eastAsia="Arial" w:hAnsi="Arial"/>
        </w:rPr>
        <w:t xml:space="preserve"/>
      </w:r>
    </w:p>
    <w:p>
      <w:pPr>
        <w:pStyle w:val="ListParagraph"/>
        <w:numPr>
          <w:ilvl w:val="0"/>
          <w:numId w:val="2"/>
        </w:numPr>
        <w:spacing w:after="60" w:before="60"/>
      </w:pPr>
      <w:r>
        <w:rPr>
          <w:rFonts w:ascii="Arial" w:cs="Arial" w:eastAsia="Arial" w:hAnsi="Arial"/>
          <w:b/>
          <w:bCs/>
          <w:color w:val="0D6E8A"/>
          <w:sz w:val="22"/>
          <w:szCs w:val="22"/>
        </w:rPr>
        <w:t xml:space="preserve">Low horsepower threshold — </w:t>
      </w:r>
      <w:r>
        <w:rPr>
          <w:rFonts w:ascii="Arial" w:cs="Arial" w:eastAsia="Arial" w:hAnsi="Arial"/>
          <w:color w:val="2A3C4A"/>
          <w:sz w:val="22"/>
          <w:szCs w:val="22"/>
        </w:rPr>
        <w:t xml:space="preserve">most homeowners policies only cover boats with engines under 25–50 horsepower; anything more powerful is typically excluded</w:t>
      </w:r>
    </w:p>
    <w:p>
      <w:pPr>
        <w:pStyle w:val="ListParagraph"/>
        <w:numPr>
          <w:ilvl w:val="0"/>
          <w:numId w:val="2"/>
        </w:numPr>
        <w:spacing w:after="60" w:before="60"/>
      </w:pPr>
      <w:r>
        <w:rPr>
          <w:rFonts w:ascii="Arial" w:cs="Arial" w:eastAsia="Arial" w:hAnsi="Arial"/>
          <w:b/>
          <w:bCs/>
          <w:color w:val="0D6E8A"/>
          <w:sz w:val="22"/>
          <w:szCs w:val="22"/>
        </w:rPr>
        <w:t xml:space="preserve">Low value sublimit — </w:t>
      </w:r>
      <w:r>
        <w:rPr>
          <w:rFonts w:ascii="Arial" w:cs="Arial" w:eastAsia="Arial" w:hAnsi="Arial"/>
          <w:color w:val="2A3C4A"/>
          <w:sz w:val="22"/>
          <w:szCs w:val="22"/>
        </w:rPr>
        <w:t xml:space="preserve">personal property coverage for watercraft is typically capped at $1,000–$1,500 — far below the value of most boats</w:t>
      </w:r>
    </w:p>
    <w:p>
      <w:pPr>
        <w:pStyle w:val="ListParagraph"/>
        <w:numPr>
          <w:ilvl w:val="0"/>
          <w:numId w:val="2"/>
        </w:numPr>
        <w:spacing w:after="60" w:before="60"/>
      </w:pPr>
      <w:r>
        <w:rPr>
          <w:rFonts w:ascii="Arial" w:cs="Arial" w:eastAsia="Arial" w:hAnsi="Arial"/>
          <w:b/>
          <w:bCs/>
          <w:color w:val="0D6E8A"/>
          <w:sz w:val="22"/>
          <w:szCs w:val="22"/>
        </w:rPr>
        <w:t xml:space="preserve">On-premises theft only — </w:t>
      </w:r>
      <w:r>
        <w:rPr>
          <w:rFonts w:ascii="Arial" w:cs="Arial" w:eastAsia="Arial" w:hAnsi="Arial"/>
          <w:color w:val="2A3C4A"/>
          <w:sz w:val="22"/>
          <w:szCs w:val="22"/>
        </w:rPr>
        <w:t xml:space="preserve">theft coverage typically applies only when the boat is on the insured premises (your home), not at a marina, boat ramp, or on the water</w:t>
      </w:r>
    </w:p>
    <w:p>
      <w:pPr>
        <w:pStyle w:val="ListParagraph"/>
        <w:numPr>
          <w:ilvl w:val="0"/>
          <w:numId w:val="2"/>
        </w:numPr>
        <w:spacing w:after="60" w:before="60"/>
      </w:pPr>
      <w:r>
        <w:rPr>
          <w:rFonts w:ascii="Arial" w:cs="Arial" w:eastAsia="Arial" w:hAnsi="Arial"/>
          <w:b/>
          <w:bCs/>
          <w:color w:val="0D6E8A"/>
          <w:sz w:val="22"/>
          <w:szCs w:val="22"/>
        </w:rPr>
        <w:t xml:space="preserve">Liability while moored only — </w:t>
      </w:r>
      <w:r>
        <w:rPr>
          <w:rFonts w:ascii="Arial" w:cs="Arial" w:eastAsia="Arial" w:hAnsi="Arial"/>
          <w:color w:val="2A3C4A"/>
          <w:sz w:val="22"/>
          <w:szCs w:val="22"/>
        </w:rPr>
        <w:t xml:space="preserve">some policies extend limited liability to small boats, but most exclude liability arising from the operation of any motorized watercraft</w:t>
      </w:r>
    </w:p>
    <w:p>
      <w:pPr>
        <w:spacing w:after="0" w:before="10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000"/>
        <w:gridCol w:w="3080"/>
        <w:gridCol w:w="3280"/>
      </w:tblGrid>
      <w:tr>
        <w:tc>
          <w:tcPr>
            <w:tcW w:type="dxa" w:w="3000"/>
            <w:tcBorders>
              <w:top w:val="none" w:color="FFFFFF" w:sz="0"/>
              <w:left w:val="none" w:color="FFFFFF" w:sz="0"/>
              <w:bottom w:val="none" w:color="FFFFFF" w:sz="0"/>
              <w:right w:val="none" w:color="FFFFFF" w:sz="0"/>
            </w:tcBorders>
            <w:shd w:fill="2A3A48"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Coverage Area</w:t>
            </w:r>
          </w:p>
        </w:tc>
        <w:tc>
          <w:tcPr>
            <w:tcW w:type="dxa" w:w="3080"/>
            <w:tcBorders>
              <w:top w:val="none" w:color="FFFFFF" w:sz="0"/>
              <w:left w:val="none" w:color="FFFFFF" w:sz="0"/>
              <w:bottom w:val="none" w:color="FFFFFF" w:sz="0"/>
              <w:right w:val="none" w:color="FFFFFF" w:sz="0"/>
            </w:tcBorders>
            <w:shd w:fill="1A4E6A"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Homeowners Policy</w:t>
            </w:r>
          </w:p>
        </w:tc>
        <w:tc>
          <w:tcPr>
            <w:tcW w:type="dxa" w:w="3280"/>
            <w:tcBorders>
              <w:top w:val="none" w:color="FFFFFF" w:sz="0"/>
              <w:left w:val="none" w:color="FFFFFF" w:sz="0"/>
              <w:bottom w:val="none" w:color="FFFFFF" w:sz="0"/>
              <w:right w:val="none" w:color="FFFFFF" w:sz="0"/>
            </w:tcBorders>
            <w:shd w:fill="1A4E6A"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Dedicated Boat Policy</w:t>
            </w:r>
          </w:p>
        </w:tc>
      </w:tr>
      <w:tr>
        <w:tc>
          <w:tcPr>
            <w:tcW w:type="dxa" w:w="3000"/>
            <w:tcBorders>
              <w:top w:val="single" w:color="A8C0D0" w:sz="1"/>
              <w:left w:val="single" w:color="A8C0D0" w:sz="1"/>
              <w:bottom w:val="single" w:color="A8C0D0" w:sz="1"/>
              <w:right w:val="single" w:color="A8C0D0" w:sz="1"/>
            </w:tcBorders>
            <w:shd w:fill="FFFFFF" w:val="clear"/>
            <w:tcMar>
              <w:top w:type="dxa" w:w="80"/>
              <w:left w:type="dxa" w:w="160"/>
              <w:bottom w:type="dxa" w:w="80"/>
              <w:right w:type="dxa" w:w="160"/>
            </w:tcMar>
          </w:tcPr>
          <w:p>
            <w:pPr>
              <w:spacing w:after="0" w:before="0"/>
            </w:pPr>
            <w:r>
              <w:rPr>
                <w:rFonts w:ascii="Arial" w:cs="Arial" w:eastAsia="Arial" w:hAnsi="Arial"/>
                <w:b/>
                <w:bCs/>
                <w:color w:val="0A1A28"/>
                <w:sz w:val="20"/>
                <w:szCs w:val="20"/>
              </w:rPr>
              <w:t xml:space="preserve">Physical damage limit</w:t>
            </w:r>
          </w:p>
        </w:tc>
        <w:tc>
          <w:tcPr>
            <w:tcW w:type="dxa" w:w="3080"/>
            <w:tcBorders>
              <w:top w:val="single" w:color="A8C0D0" w:sz="1"/>
              <w:left w:val="single" w:color="A8C0D0" w:sz="1"/>
              <w:bottom w:val="single" w:color="A8C0D0" w:sz="1"/>
              <w:right w:val="single" w:color="A8C0D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A3C4A"/>
                <w:sz w:val="20"/>
                <w:szCs w:val="20"/>
              </w:rPr>
              <w:t xml:space="preserve">Typically $1,000–$1,500 sublimit</w:t>
            </w:r>
          </w:p>
        </w:tc>
        <w:tc>
          <w:tcPr>
            <w:tcW w:type="dxa" w:w="3280"/>
            <w:tcBorders>
              <w:top w:val="single" w:color="A8C0D0" w:sz="1"/>
              <w:left w:val="single" w:color="A8C0D0" w:sz="1"/>
              <w:bottom w:val="single" w:color="A8C0D0" w:sz="1"/>
              <w:right w:val="single" w:color="A8C0D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A3C4A"/>
                <w:sz w:val="20"/>
                <w:szCs w:val="20"/>
              </w:rPr>
              <w:t xml:space="preserve">Full hull value coverage available</w:t>
            </w:r>
          </w:p>
        </w:tc>
      </w:tr>
      <w:tr>
        <w:tc>
          <w:tcPr>
            <w:tcW w:type="dxa" w:w="3000"/>
            <w:tcBorders>
              <w:top w:val="single" w:color="A8C0D0" w:sz="1"/>
              <w:left w:val="single" w:color="A8C0D0" w:sz="1"/>
              <w:bottom w:val="single" w:color="A8C0D0" w:sz="1"/>
              <w:right w:val="single" w:color="A8C0D0" w:sz="1"/>
            </w:tcBorders>
            <w:shd w:fill="EBF4F8" w:val="clear"/>
            <w:tcMar>
              <w:top w:type="dxa" w:w="80"/>
              <w:left w:type="dxa" w:w="160"/>
              <w:bottom w:type="dxa" w:w="80"/>
              <w:right w:type="dxa" w:w="160"/>
            </w:tcMar>
          </w:tcPr>
          <w:p>
            <w:pPr>
              <w:spacing w:after="0" w:before="0"/>
            </w:pPr>
            <w:r>
              <w:rPr>
                <w:rFonts w:ascii="Arial" w:cs="Arial" w:eastAsia="Arial" w:hAnsi="Arial"/>
                <w:b/>
                <w:bCs/>
                <w:color w:val="0A1A28"/>
                <w:sz w:val="20"/>
                <w:szCs w:val="20"/>
              </w:rPr>
              <w:t xml:space="preserve">Motor and trailer</w:t>
            </w:r>
          </w:p>
        </w:tc>
        <w:tc>
          <w:tcPr>
            <w:tcW w:type="dxa" w:w="3080"/>
            <w:tcBorders>
              <w:top w:val="single" w:color="A8C0D0" w:sz="1"/>
              <w:left w:val="single" w:color="A8C0D0" w:sz="1"/>
              <w:bottom w:val="single" w:color="A8C0D0" w:sz="1"/>
              <w:right w:val="single" w:color="A8C0D0" w:sz="1"/>
            </w:tcBorders>
            <w:shd w:fill="EBF4F8" w:val="clear"/>
            <w:tcMar>
              <w:top w:type="dxa" w:w="80"/>
              <w:left w:type="dxa" w:w="160"/>
              <w:bottom w:type="dxa" w:w="80"/>
              <w:right w:type="dxa" w:w="160"/>
            </w:tcMar>
          </w:tcPr>
          <w:p>
            <w:pPr>
              <w:spacing w:after="0" w:before="0"/>
            </w:pPr>
            <w:r>
              <w:rPr>
                <w:rFonts w:ascii="Arial" w:cs="Arial" w:eastAsia="Arial" w:hAnsi="Arial"/>
                <w:b w:val="false"/>
                <w:bCs w:val="false"/>
                <w:color w:val="2A3C4A"/>
                <w:sz w:val="20"/>
                <w:szCs w:val="20"/>
              </w:rPr>
              <w:t xml:space="preserve">Often excluded</w:t>
            </w:r>
          </w:p>
        </w:tc>
        <w:tc>
          <w:tcPr>
            <w:tcW w:type="dxa" w:w="3280"/>
            <w:tcBorders>
              <w:top w:val="single" w:color="A8C0D0" w:sz="1"/>
              <w:left w:val="single" w:color="A8C0D0" w:sz="1"/>
              <w:bottom w:val="single" w:color="A8C0D0" w:sz="1"/>
              <w:right w:val="single" w:color="A8C0D0" w:sz="1"/>
            </w:tcBorders>
            <w:shd w:fill="EBF4F8" w:val="clear"/>
            <w:tcMar>
              <w:top w:type="dxa" w:w="80"/>
              <w:left w:type="dxa" w:w="160"/>
              <w:bottom w:type="dxa" w:w="80"/>
              <w:right w:type="dxa" w:w="160"/>
            </w:tcMar>
          </w:tcPr>
          <w:p>
            <w:pPr>
              <w:spacing w:after="0" w:before="0"/>
            </w:pPr>
            <w:r>
              <w:rPr>
                <w:rFonts w:ascii="Arial" w:cs="Arial" w:eastAsia="Arial" w:hAnsi="Arial"/>
                <w:b w:val="false"/>
                <w:bCs w:val="false"/>
                <w:color w:val="2A3C4A"/>
                <w:sz w:val="20"/>
                <w:szCs w:val="20"/>
              </w:rPr>
              <w:t xml:space="preserve">Covered as part of vessel package</w:t>
            </w:r>
          </w:p>
        </w:tc>
      </w:tr>
      <w:tr>
        <w:tc>
          <w:tcPr>
            <w:tcW w:type="dxa" w:w="3000"/>
            <w:tcBorders>
              <w:top w:val="single" w:color="A8C0D0" w:sz="1"/>
              <w:left w:val="single" w:color="A8C0D0" w:sz="1"/>
              <w:bottom w:val="single" w:color="A8C0D0" w:sz="1"/>
              <w:right w:val="single" w:color="A8C0D0" w:sz="1"/>
            </w:tcBorders>
            <w:shd w:fill="FFFFFF" w:val="clear"/>
            <w:tcMar>
              <w:top w:type="dxa" w:w="80"/>
              <w:left w:type="dxa" w:w="160"/>
              <w:bottom w:type="dxa" w:w="80"/>
              <w:right w:type="dxa" w:w="160"/>
            </w:tcMar>
          </w:tcPr>
          <w:p>
            <w:pPr>
              <w:spacing w:after="0" w:before="0"/>
            </w:pPr>
            <w:r>
              <w:rPr>
                <w:rFonts w:ascii="Arial" w:cs="Arial" w:eastAsia="Arial" w:hAnsi="Arial"/>
                <w:b/>
                <w:bCs/>
                <w:color w:val="0A1A28"/>
                <w:sz w:val="20"/>
                <w:szCs w:val="20"/>
              </w:rPr>
              <w:t xml:space="preserve">On-water liability</w:t>
            </w:r>
          </w:p>
        </w:tc>
        <w:tc>
          <w:tcPr>
            <w:tcW w:type="dxa" w:w="3080"/>
            <w:tcBorders>
              <w:top w:val="single" w:color="A8C0D0" w:sz="1"/>
              <w:left w:val="single" w:color="A8C0D0" w:sz="1"/>
              <w:bottom w:val="single" w:color="A8C0D0" w:sz="1"/>
              <w:right w:val="single" w:color="A8C0D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A3C4A"/>
                <w:sz w:val="20"/>
                <w:szCs w:val="20"/>
              </w:rPr>
              <w:t xml:space="preserve">Typically excluded for motorized boats</w:t>
            </w:r>
          </w:p>
        </w:tc>
        <w:tc>
          <w:tcPr>
            <w:tcW w:type="dxa" w:w="3280"/>
            <w:tcBorders>
              <w:top w:val="single" w:color="A8C0D0" w:sz="1"/>
              <w:left w:val="single" w:color="A8C0D0" w:sz="1"/>
              <w:bottom w:val="single" w:color="A8C0D0" w:sz="1"/>
              <w:right w:val="single" w:color="A8C0D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A3C4A"/>
                <w:sz w:val="20"/>
                <w:szCs w:val="20"/>
              </w:rPr>
              <w:t xml:space="preserve">Bodily injury &amp; property damage liability</w:t>
            </w:r>
          </w:p>
        </w:tc>
      </w:tr>
      <w:tr>
        <w:tc>
          <w:tcPr>
            <w:tcW w:type="dxa" w:w="3000"/>
            <w:tcBorders>
              <w:top w:val="single" w:color="A8C0D0" w:sz="1"/>
              <w:left w:val="single" w:color="A8C0D0" w:sz="1"/>
              <w:bottom w:val="single" w:color="A8C0D0" w:sz="1"/>
              <w:right w:val="single" w:color="A8C0D0" w:sz="1"/>
            </w:tcBorders>
            <w:shd w:fill="EBF4F8" w:val="clear"/>
            <w:tcMar>
              <w:top w:type="dxa" w:w="80"/>
              <w:left w:type="dxa" w:w="160"/>
              <w:bottom w:type="dxa" w:w="80"/>
              <w:right w:type="dxa" w:w="160"/>
            </w:tcMar>
          </w:tcPr>
          <w:p>
            <w:pPr>
              <w:spacing w:after="0" w:before="0"/>
            </w:pPr>
            <w:r>
              <w:rPr>
                <w:rFonts w:ascii="Arial" w:cs="Arial" w:eastAsia="Arial" w:hAnsi="Arial"/>
                <w:b/>
                <w:bCs/>
                <w:color w:val="0A1A28"/>
                <w:sz w:val="20"/>
                <w:szCs w:val="20"/>
              </w:rPr>
              <w:t xml:space="preserve">Passenger injuries</w:t>
            </w:r>
          </w:p>
        </w:tc>
        <w:tc>
          <w:tcPr>
            <w:tcW w:type="dxa" w:w="3080"/>
            <w:tcBorders>
              <w:top w:val="single" w:color="A8C0D0" w:sz="1"/>
              <w:left w:val="single" w:color="A8C0D0" w:sz="1"/>
              <w:bottom w:val="single" w:color="A8C0D0" w:sz="1"/>
              <w:right w:val="single" w:color="A8C0D0" w:sz="1"/>
            </w:tcBorders>
            <w:shd w:fill="EBF4F8" w:val="clear"/>
            <w:tcMar>
              <w:top w:type="dxa" w:w="80"/>
              <w:left w:type="dxa" w:w="160"/>
              <w:bottom w:type="dxa" w:w="80"/>
              <w:right w:type="dxa" w:w="160"/>
            </w:tcMar>
          </w:tcPr>
          <w:p>
            <w:pPr>
              <w:spacing w:after="0" w:before="0"/>
            </w:pPr>
            <w:r>
              <w:rPr>
                <w:rFonts w:ascii="Arial" w:cs="Arial" w:eastAsia="Arial" w:hAnsi="Arial"/>
                <w:b w:val="false"/>
                <w:bCs w:val="false"/>
                <w:color w:val="2A3C4A"/>
                <w:sz w:val="20"/>
                <w:szCs w:val="20"/>
              </w:rPr>
              <w:t xml:space="preserve">Excluded</w:t>
            </w:r>
          </w:p>
        </w:tc>
        <w:tc>
          <w:tcPr>
            <w:tcW w:type="dxa" w:w="3280"/>
            <w:tcBorders>
              <w:top w:val="single" w:color="A8C0D0" w:sz="1"/>
              <w:left w:val="single" w:color="A8C0D0" w:sz="1"/>
              <w:bottom w:val="single" w:color="A8C0D0" w:sz="1"/>
              <w:right w:val="single" w:color="A8C0D0" w:sz="1"/>
            </w:tcBorders>
            <w:shd w:fill="EBF4F8" w:val="clear"/>
            <w:tcMar>
              <w:top w:type="dxa" w:w="80"/>
              <w:left w:type="dxa" w:w="160"/>
              <w:bottom w:type="dxa" w:w="80"/>
              <w:right w:type="dxa" w:w="160"/>
            </w:tcMar>
          </w:tcPr>
          <w:p>
            <w:pPr>
              <w:spacing w:after="0" w:before="0"/>
            </w:pPr>
            <w:r>
              <w:rPr>
                <w:rFonts w:ascii="Arial" w:cs="Arial" w:eastAsia="Arial" w:hAnsi="Arial"/>
                <w:b w:val="false"/>
                <w:bCs w:val="false"/>
                <w:color w:val="2A3C4A"/>
                <w:sz w:val="20"/>
                <w:szCs w:val="20"/>
              </w:rPr>
              <w:t xml:space="preserve">Medical payments coverage available</w:t>
            </w:r>
          </w:p>
        </w:tc>
      </w:tr>
      <w:tr>
        <w:tc>
          <w:tcPr>
            <w:tcW w:type="dxa" w:w="3000"/>
            <w:tcBorders>
              <w:top w:val="single" w:color="A8C0D0" w:sz="1"/>
              <w:left w:val="single" w:color="A8C0D0" w:sz="1"/>
              <w:bottom w:val="single" w:color="A8C0D0" w:sz="1"/>
              <w:right w:val="single" w:color="A8C0D0" w:sz="1"/>
            </w:tcBorders>
            <w:shd w:fill="FFFFFF" w:val="clear"/>
            <w:tcMar>
              <w:top w:type="dxa" w:w="80"/>
              <w:left w:type="dxa" w:w="160"/>
              <w:bottom w:type="dxa" w:w="80"/>
              <w:right w:type="dxa" w:w="160"/>
            </w:tcMar>
          </w:tcPr>
          <w:p>
            <w:pPr>
              <w:spacing w:after="0" w:before="0"/>
            </w:pPr>
            <w:r>
              <w:rPr>
                <w:rFonts w:ascii="Arial" w:cs="Arial" w:eastAsia="Arial" w:hAnsi="Arial"/>
                <w:b/>
                <w:bCs/>
                <w:color w:val="0A1A28"/>
                <w:sz w:val="20"/>
                <w:szCs w:val="20"/>
              </w:rPr>
              <w:t xml:space="preserve">Theft at marina</w:t>
            </w:r>
          </w:p>
        </w:tc>
        <w:tc>
          <w:tcPr>
            <w:tcW w:type="dxa" w:w="3080"/>
            <w:tcBorders>
              <w:top w:val="single" w:color="A8C0D0" w:sz="1"/>
              <w:left w:val="single" w:color="A8C0D0" w:sz="1"/>
              <w:bottom w:val="single" w:color="A8C0D0" w:sz="1"/>
              <w:right w:val="single" w:color="A8C0D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A3C4A"/>
                <w:sz w:val="20"/>
                <w:szCs w:val="20"/>
              </w:rPr>
              <w:t xml:space="preserve">Not covered (off-premises)</w:t>
            </w:r>
          </w:p>
        </w:tc>
        <w:tc>
          <w:tcPr>
            <w:tcW w:type="dxa" w:w="3280"/>
            <w:tcBorders>
              <w:top w:val="single" w:color="A8C0D0" w:sz="1"/>
              <w:left w:val="single" w:color="A8C0D0" w:sz="1"/>
              <w:bottom w:val="single" w:color="A8C0D0" w:sz="1"/>
              <w:right w:val="single" w:color="A8C0D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A3C4A"/>
                <w:sz w:val="20"/>
                <w:szCs w:val="20"/>
              </w:rPr>
              <w:t xml:space="preserve">Covered under comprehensive</w:t>
            </w:r>
          </w:p>
        </w:tc>
      </w:tr>
      <w:tr>
        <w:tc>
          <w:tcPr>
            <w:tcW w:type="dxa" w:w="3000"/>
            <w:tcBorders>
              <w:top w:val="single" w:color="A8C0D0" w:sz="1"/>
              <w:left w:val="single" w:color="A8C0D0" w:sz="1"/>
              <w:bottom w:val="single" w:color="A8C0D0" w:sz="1"/>
              <w:right w:val="single" w:color="A8C0D0" w:sz="1"/>
            </w:tcBorders>
            <w:shd w:fill="EBF4F8" w:val="clear"/>
            <w:tcMar>
              <w:top w:type="dxa" w:w="80"/>
              <w:left w:type="dxa" w:w="160"/>
              <w:bottom w:type="dxa" w:w="80"/>
              <w:right w:type="dxa" w:w="160"/>
            </w:tcMar>
          </w:tcPr>
          <w:p>
            <w:pPr>
              <w:spacing w:after="0" w:before="0"/>
            </w:pPr>
            <w:r>
              <w:rPr>
                <w:rFonts w:ascii="Arial" w:cs="Arial" w:eastAsia="Arial" w:hAnsi="Arial"/>
                <w:b/>
                <w:bCs/>
                <w:color w:val="0A1A28"/>
                <w:sz w:val="20"/>
                <w:szCs w:val="20"/>
              </w:rPr>
              <w:t xml:space="preserve">Sinking and submersion</w:t>
            </w:r>
          </w:p>
        </w:tc>
        <w:tc>
          <w:tcPr>
            <w:tcW w:type="dxa" w:w="3080"/>
            <w:tcBorders>
              <w:top w:val="single" w:color="A8C0D0" w:sz="1"/>
              <w:left w:val="single" w:color="A8C0D0" w:sz="1"/>
              <w:bottom w:val="single" w:color="A8C0D0" w:sz="1"/>
              <w:right w:val="single" w:color="A8C0D0" w:sz="1"/>
            </w:tcBorders>
            <w:shd w:fill="EBF4F8" w:val="clear"/>
            <w:tcMar>
              <w:top w:type="dxa" w:w="80"/>
              <w:left w:type="dxa" w:w="160"/>
              <w:bottom w:type="dxa" w:w="80"/>
              <w:right w:type="dxa" w:w="160"/>
            </w:tcMar>
          </w:tcPr>
          <w:p>
            <w:pPr>
              <w:spacing w:after="0" w:before="0"/>
            </w:pPr>
            <w:r>
              <w:rPr>
                <w:rFonts w:ascii="Arial" w:cs="Arial" w:eastAsia="Arial" w:hAnsi="Arial"/>
                <w:b w:val="false"/>
                <w:bCs w:val="false"/>
                <w:color w:val="2A3C4A"/>
                <w:sz w:val="20"/>
                <w:szCs w:val="20"/>
              </w:rPr>
              <w:t xml:space="preserve">Not covered</w:t>
            </w:r>
          </w:p>
        </w:tc>
        <w:tc>
          <w:tcPr>
            <w:tcW w:type="dxa" w:w="3280"/>
            <w:tcBorders>
              <w:top w:val="single" w:color="A8C0D0" w:sz="1"/>
              <w:left w:val="single" w:color="A8C0D0" w:sz="1"/>
              <w:bottom w:val="single" w:color="A8C0D0" w:sz="1"/>
              <w:right w:val="single" w:color="A8C0D0" w:sz="1"/>
            </w:tcBorders>
            <w:shd w:fill="EBF4F8" w:val="clear"/>
            <w:tcMar>
              <w:top w:type="dxa" w:w="80"/>
              <w:left w:type="dxa" w:w="160"/>
              <w:bottom w:type="dxa" w:w="80"/>
              <w:right w:type="dxa" w:w="160"/>
            </w:tcMar>
          </w:tcPr>
          <w:p>
            <w:pPr>
              <w:spacing w:after="0" w:before="0"/>
            </w:pPr>
            <w:r>
              <w:rPr>
                <w:rFonts w:ascii="Arial" w:cs="Arial" w:eastAsia="Arial" w:hAnsi="Arial"/>
                <w:b w:val="false"/>
                <w:bCs w:val="false"/>
                <w:color w:val="2A3C4A"/>
                <w:sz w:val="20"/>
                <w:szCs w:val="20"/>
              </w:rPr>
              <w:t xml:space="preserve">Covered under comprehensive</w:t>
            </w:r>
          </w:p>
        </w:tc>
      </w:tr>
      <w:tr>
        <w:tc>
          <w:tcPr>
            <w:tcW w:type="dxa" w:w="3000"/>
            <w:tcBorders>
              <w:top w:val="single" w:color="A8C0D0" w:sz="1"/>
              <w:left w:val="single" w:color="A8C0D0" w:sz="1"/>
              <w:bottom w:val="single" w:color="A8C0D0" w:sz="1"/>
              <w:right w:val="single" w:color="A8C0D0" w:sz="1"/>
            </w:tcBorders>
            <w:shd w:fill="FFFFFF" w:val="clear"/>
            <w:tcMar>
              <w:top w:type="dxa" w:w="80"/>
              <w:left w:type="dxa" w:w="160"/>
              <w:bottom w:type="dxa" w:w="80"/>
              <w:right w:type="dxa" w:w="160"/>
            </w:tcMar>
          </w:tcPr>
          <w:p>
            <w:pPr>
              <w:spacing w:after="0" w:before="0"/>
            </w:pPr>
            <w:r>
              <w:rPr>
                <w:rFonts w:ascii="Arial" w:cs="Arial" w:eastAsia="Arial" w:hAnsi="Arial"/>
                <w:b/>
                <w:bCs/>
                <w:color w:val="0A1A28"/>
                <w:sz w:val="20"/>
                <w:szCs w:val="20"/>
              </w:rPr>
              <w:t xml:space="preserve">Fuel spill liability</w:t>
            </w:r>
          </w:p>
        </w:tc>
        <w:tc>
          <w:tcPr>
            <w:tcW w:type="dxa" w:w="3080"/>
            <w:tcBorders>
              <w:top w:val="single" w:color="A8C0D0" w:sz="1"/>
              <w:left w:val="single" w:color="A8C0D0" w:sz="1"/>
              <w:bottom w:val="single" w:color="A8C0D0" w:sz="1"/>
              <w:right w:val="single" w:color="A8C0D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A3C4A"/>
                <w:sz w:val="20"/>
                <w:szCs w:val="20"/>
              </w:rPr>
              <w:t xml:space="preserve">Not covered</w:t>
            </w:r>
          </w:p>
        </w:tc>
        <w:tc>
          <w:tcPr>
            <w:tcW w:type="dxa" w:w="3280"/>
            <w:tcBorders>
              <w:top w:val="single" w:color="A8C0D0" w:sz="1"/>
              <w:left w:val="single" w:color="A8C0D0" w:sz="1"/>
              <w:bottom w:val="single" w:color="A8C0D0" w:sz="1"/>
              <w:right w:val="single" w:color="A8C0D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A3C4A"/>
                <w:sz w:val="20"/>
                <w:szCs w:val="20"/>
              </w:rPr>
              <w:t xml:space="preserve">Available as endorsement</w:t>
            </w:r>
          </w:p>
        </w:tc>
      </w:tr>
      <w:tr>
        <w:tc>
          <w:tcPr>
            <w:tcW w:type="dxa" w:w="3000"/>
            <w:tcBorders>
              <w:top w:val="single" w:color="A8C0D0" w:sz="1"/>
              <w:left w:val="single" w:color="A8C0D0" w:sz="1"/>
              <w:bottom w:val="single" w:color="A8C0D0" w:sz="1"/>
              <w:right w:val="single" w:color="A8C0D0" w:sz="1"/>
            </w:tcBorders>
            <w:shd w:fill="EBF4F8" w:val="clear"/>
            <w:tcMar>
              <w:top w:type="dxa" w:w="80"/>
              <w:left w:type="dxa" w:w="160"/>
              <w:bottom w:type="dxa" w:w="80"/>
              <w:right w:type="dxa" w:w="160"/>
            </w:tcMar>
          </w:tcPr>
          <w:p>
            <w:pPr>
              <w:spacing w:after="0" w:before="0"/>
            </w:pPr>
            <w:r>
              <w:rPr>
                <w:rFonts w:ascii="Arial" w:cs="Arial" w:eastAsia="Arial" w:hAnsi="Arial"/>
                <w:b/>
                <w:bCs/>
                <w:color w:val="0A1A28"/>
                <w:sz w:val="20"/>
                <w:szCs w:val="20"/>
              </w:rPr>
              <w:t xml:space="preserve">Towing and assistance</w:t>
            </w:r>
          </w:p>
        </w:tc>
        <w:tc>
          <w:tcPr>
            <w:tcW w:type="dxa" w:w="3080"/>
            <w:tcBorders>
              <w:top w:val="single" w:color="A8C0D0" w:sz="1"/>
              <w:left w:val="single" w:color="A8C0D0" w:sz="1"/>
              <w:bottom w:val="single" w:color="A8C0D0" w:sz="1"/>
              <w:right w:val="single" w:color="A8C0D0" w:sz="1"/>
            </w:tcBorders>
            <w:shd w:fill="EBF4F8" w:val="clear"/>
            <w:tcMar>
              <w:top w:type="dxa" w:w="80"/>
              <w:left w:type="dxa" w:w="160"/>
              <w:bottom w:type="dxa" w:w="80"/>
              <w:right w:type="dxa" w:w="160"/>
            </w:tcMar>
          </w:tcPr>
          <w:p>
            <w:pPr>
              <w:spacing w:after="0" w:before="0"/>
            </w:pPr>
            <w:r>
              <w:rPr>
                <w:rFonts w:ascii="Arial" w:cs="Arial" w:eastAsia="Arial" w:hAnsi="Arial"/>
                <w:b w:val="false"/>
                <w:bCs w:val="false"/>
                <w:color w:val="2A3C4A"/>
                <w:sz w:val="20"/>
                <w:szCs w:val="20"/>
              </w:rPr>
              <w:t xml:space="preserve">Not covered</w:t>
            </w:r>
          </w:p>
        </w:tc>
        <w:tc>
          <w:tcPr>
            <w:tcW w:type="dxa" w:w="3280"/>
            <w:tcBorders>
              <w:top w:val="single" w:color="A8C0D0" w:sz="1"/>
              <w:left w:val="single" w:color="A8C0D0" w:sz="1"/>
              <w:bottom w:val="single" w:color="A8C0D0" w:sz="1"/>
              <w:right w:val="single" w:color="A8C0D0" w:sz="1"/>
            </w:tcBorders>
            <w:shd w:fill="EBF4F8" w:val="clear"/>
            <w:tcMar>
              <w:top w:type="dxa" w:w="80"/>
              <w:left w:type="dxa" w:w="160"/>
              <w:bottom w:type="dxa" w:w="80"/>
              <w:right w:type="dxa" w:w="160"/>
            </w:tcMar>
          </w:tcPr>
          <w:p>
            <w:pPr>
              <w:spacing w:after="0" w:before="0"/>
            </w:pPr>
            <w:r>
              <w:rPr>
                <w:rFonts w:ascii="Arial" w:cs="Arial" w:eastAsia="Arial" w:hAnsi="Arial"/>
                <w:b w:val="false"/>
                <w:bCs w:val="false"/>
                <w:color w:val="2A3C4A"/>
                <w:sz w:val="20"/>
                <w:szCs w:val="20"/>
              </w:rPr>
              <w:t xml:space="preserve">Dedicated marine towing available</w:t>
            </w:r>
          </w:p>
        </w:tc>
      </w:tr>
      <w:tr>
        <w:tc>
          <w:tcPr>
            <w:tcW w:type="dxa" w:w="3000"/>
            <w:tcBorders>
              <w:top w:val="single" w:color="A8C0D0" w:sz="1"/>
              <w:left w:val="single" w:color="A8C0D0" w:sz="1"/>
              <w:bottom w:val="single" w:color="A8C0D0" w:sz="1"/>
              <w:right w:val="single" w:color="A8C0D0" w:sz="1"/>
            </w:tcBorders>
            <w:shd w:fill="FFFFFF" w:val="clear"/>
            <w:tcMar>
              <w:top w:type="dxa" w:w="80"/>
              <w:left w:type="dxa" w:w="160"/>
              <w:bottom w:type="dxa" w:w="80"/>
              <w:right w:type="dxa" w:w="160"/>
            </w:tcMar>
          </w:tcPr>
          <w:p>
            <w:pPr>
              <w:spacing w:after="0" w:before="0"/>
            </w:pPr>
            <w:r>
              <w:rPr>
                <w:rFonts w:ascii="Arial" w:cs="Arial" w:eastAsia="Arial" w:hAnsi="Arial"/>
                <w:b/>
                <w:bCs/>
                <w:color w:val="0A1A28"/>
                <w:sz w:val="20"/>
                <w:szCs w:val="20"/>
              </w:rPr>
              <w:t xml:space="preserve">Agreed value settlement</w:t>
            </w:r>
          </w:p>
        </w:tc>
        <w:tc>
          <w:tcPr>
            <w:tcW w:type="dxa" w:w="3080"/>
            <w:tcBorders>
              <w:top w:val="single" w:color="A8C0D0" w:sz="1"/>
              <w:left w:val="single" w:color="A8C0D0" w:sz="1"/>
              <w:bottom w:val="single" w:color="A8C0D0" w:sz="1"/>
              <w:right w:val="single" w:color="A8C0D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A3C4A"/>
                <w:sz w:val="20"/>
                <w:szCs w:val="20"/>
              </w:rPr>
              <w:t xml:space="preserve">Not available</w:t>
            </w:r>
          </w:p>
        </w:tc>
        <w:tc>
          <w:tcPr>
            <w:tcW w:type="dxa" w:w="3280"/>
            <w:tcBorders>
              <w:top w:val="single" w:color="A8C0D0" w:sz="1"/>
              <w:left w:val="single" w:color="A8C0D0" w:sz="1"/>
              <w:bottom w:val="single" w:color="A8C0D0" w:sz="1"/>
              <w:right w:val="single" w:color="A8C0D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A3C4A"/>
                <w:sz w:val="20"/>
                <w:szCs w:val="20"/>
              </w:rPr>
              <w:t xml:space="preserve">Agreed value standard in better policies</w:t>
            </w:r>
          </w:p>
        </w:tc>
      </w:tr>
      <w:tr>
        <w:tc>
          <w:tcPr>
            <w:tcW w:type="dxa" w:w="3000"/>
            <w:tcBorders>
              <w:top w:val="single" w:color="A8C0D0" w:sz="1"/>
              <w:left w:val="single" w:color="A8C0D0" w:sz="1"/>
              <w:bottom w:val="single" w:color="A8C0D0" w:sz="1"/>
              <w:right w:val="single" w:color="A8C0D0" w:sz="1"/>
            </w:tcBorders>
            <w:shd w:fill="EBF4F8" w:val="clear"/>
            <w:tcMar>
              <w:top w:type="dxa" w:w="80"/>
              <w:left w:type="dxa" w:w="160"/>
              <w:bottom w:type="dxa" w:w="80"/>
              <w:right w:type="dxa" w:w="160"/>
            </w:tcMar>
          </w:tcPr>
          <w:p>
            <w:pPr>
              <w:spacing w:after="0" w:before="0"/>
            </w:pPr>
            <w:r>
              <w:rPr>
                <w:rFonts w:ascii="Arial" w:cs="Arial" w:eastAsia="Arial" w:hAnsi="Arial"/>
                <w:b/>
                <w:bCs/>
                <w:color w:val="0A1A28"/>
                <w:sz w:val="20"/>
                <w:szCs w:val="20"/>
              </w:rPr>
              <w:t xml:space="preserve">Racing and tournaments</w:t>
            </w:r>
          </w:p>
        </w:tc>
        <w:tc>
          <w:tcPr>
            <w:tcW w:type="dxa" w:w="3080"/>
            <w:tcBorders>
              <w:top w:val="single" w:color="A8C0D0" w:sz="1"/>
              <w:left w:val="single" w:color="A8C0D0" w:sz="1"/>
              <w:bottom w:val="single" w:color="A8C0D0" w:sz="1"/>
              <w:right w:val="single" w:color="A8C0D0" w:sz="1"/>
            </w:tcBorders>
            <w:shd w:fill="EBF4F8" w:val="clear"/>
            <w:tcMar>
              <w:top w:type="dxa" w:w="80"/>
              <w:left w:type="dxa" w:w="160"/>
              <w:bottom w:type="dxa" w:w="80"/>
              <w:right w:type="dxa" w:w="160"/>
            </w:tcMar>
          </w:tcPr>
          <w:p>
            <w:pPr>
              <w:spacing w:after="0" w:before="0"/>
            </w:pPr>
            <w:r>
              <w:rPr>
                <w:rFonts w:ascii="Arial" w:cs="Arial" w:eastAsia="Arial" w:hAnsi="Arial"/>
                <w:b w:val="false"/>
                <w:bCs w:val="false"/>
                <w:color w:val="2A3C4A"/>
                <w:sz w:val="20"/>
                <w:szCs w:val="20"/>
              </w:rPr>
              <w:t xml:space="preserve">Not applicable</w:t>
            </w:r>
          </w:p>
        </w:tc>
        <w:tc>
          <w:tcPr>
            <w:tcW w:type="dxa" w:w="3280"/>
            <w:tcBorders>
              <w:top w:val="single" w:color="A8C0D0" w:sz="1"/>
              <w:left w:val="single" w:color="A8C0D0" w:sz="1"/>
              <w:bottom w:val="single" w:color="A8C0D0" w:sz="1"/>
              <w:right w:val="single" w:color="A8C0D0" w:sz="1"/>
            </w:tcBorders>
            <w:shd w:fill="EBF4F8" w:val="clear"/>
            <w:tcMar>
              <w:top w:type="dxa" w:w="80"/>
              <w:left w:type="dxa" w:w="160"/>
              <w:bottom w:type="dxa" w:w="80"/>
              <w:right w:type="dxa" w:w="160"/>
            </w:tcMar>
          </w:tcPr>
          <w:p>
            <w:pPr>
              <w:spacing w:after="0" w:before="0"/>
            </w:pPr>
            <w:r>
              <w:rPr>
                <w:rFonts w:ascii="Arial" w:cs="Arial" w:eastAsia="Arial" w:hAnsi="Arial"/>
                <w:b w:val="false"/>
                <w:bCs w:val="false"/>
                <w:color w:val="2A3C4A"/>
                <w:sz w:val="20"/>
                <w:szCs w:val="20"/>
              </w:rPr>
              <w:t xml:space="preserve">Endorsement available</w:t>
            </w:r>
          </w:p>
        </w:tc>
      </w:tr>
    </w:tbl>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8B1A1A" w:sz="18"/>
              <w:bottom w:val="none" w:color="FFFFFF" w:sz="0"/>
              <w:right w:val="none" w:color="FFFFFF" w:sz="0"/>
            </w:tcBorders>
            <w:shd w:fill="FDF0F0" w:val="clear"/>
            <w:tcMar>
              <w:top w:type="dxa" w:w="110"/>
              <w:left w:type="dxa" w:w="200"/>
              <w:bottom w:type="dxa" w:w="110"/>
              <w:right w:type="dxa" w:w="160"/>
            </w:tcMar>
          </w:tcPr>
          <w:p>
            <w:pPr>
              <w:spacing w:after="60" w:before="0"/>
            </w:pPr>
            <w:r>
              <w:rPr>
                <w:rFonts w:ascii="Arial" w:cs="Arial" w:eastAsia="Arial" w:hAnsi="Arial"/>
                <w:b/>
                <w:bCs/>
                <w:caps/>
                <w:color w:val="8B1A1A"/>
                <w:sz w:val="19"/>
                <w:szCs w:val="19"/>
              </w:rPr>
              <w:t xml:space="preserve">The False Sense of Security</w:t>
            </w:r>
          </w:p>
          <w:p>
            <w:pPr>
              <w:spacing w:after="0" w:before="0"/>
            </w:pPr>
            <w:r>
              <w:rPr>
                <w:rFonts w:ascii="Arial" w:cs="Arial" w:eastAsia="Arial" w:hAnsi="Arial"/>
                <w:color w:val="5A1010"/>
                <w:sz w:val="20"/>
                <w:szCs w:val="20"/>
              </w:rPr>
              <w:t xml:space="preserve">Many boat owners who have never filed a claim genuinely believe their homeowners policy covers their boat. The policy language that creates this impression is vague and is clarified only by reading the exclusions section carefully. When a significant loss occurs — a $40,000 boat sunk at a marina, or a passenger seriously injured on the water — the absence of real coverage becomes devastatingly apparent. Do not wait for a loss to discover you are uninsured.</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0A2E4A" w:val="clear"/>
            <w:tcMar>
              <w:top w:type="dxa" w:w="160"/>
              <w:left w:type="dxa" w:w="240"/>
              <w:bottom w:type="dxa" w:w="160"/>
              <w:right w:type="dxa" w:w="240"/>
            </w:tcMar>
          </w:tcPr>
          <w:p>
            <w:pPr>
              <w:spacing w:after="0" w:before="0"/>
            </w:pPr>
            <w:r>
              <w:rPr>
                <w:rFonts w:ascii="Arial" w:cs="Arial" w:eastAsia="Arial" w:hAnsi="Arial"/>
                <w:b/>
                <w:bCs/>
                <w:color w:val="A8D4E0"/>
                <w:sz w:val="28"/>
                <w:szCs w:val="28"/>
              </w:rPr>
              <w:t xml:space="preserve">3.  </w:t>
            </w:r>
            <w:r>
              <w:rPr>
                <w:rFonts w:ascii="Arial" w:cs="Arial" w:eastAsia="Arial" w:hAnsi="Arial"/>
                <w:b/>
                <w:bCs/>
                <w:color w:val="FFFFFF"/>
                <w:sz w:val="28"/>
                <w:szCs w:val="28"/>
              </w:rPr>
              <w:t xml:space="preserve">State Requirements for Boat Insurance</w:t>
            </w:r>
          </w:p>
        </w:tc>
      </w:tr>
    </w:tbl>
    <w:p>
      <w:pPr>
        <w:spacing w:after="0" w:before="100"/>
      </w:pPr>
      <w:r>
        <w:rPr>
          <w:rFonts w:ascii="Arial" w:cs="Arial" w:eastAsia="Arial" w:hAnsi="Arial"/>
        </w:rPr>
        <w:t xml:space="preserve"/>
      </w:r>
    </w:p>
    <w:p>
      <w:pPr>
        <w:spacing w:after="110" w:before="80"/>
      </w:pPr>
      <w:r>
        <w:rPr>
          <w:rFonts w:ascii="Arial" w:cs="Arial" w:eastAsia="Arial" w:hAnsi="Arial"/>
          <w:color w:val="0A1A28"/>
          <w:sz w:val="22"/>
          <w:szCs w:val="22"/>
        </w:rPr>
        <w:t xml:space="preserve">Unlike automobile insurance, which is required by law in virtually every U.S. state, mandatory boat insurance requirements vary significantly across states and are often far less comprehensive. The patchwork of state requirements means that boat owners cannot assume their state’s laws adequately protect them — and in most states, the law provides minimal or no mandatory coverage requirements at all.</w:t>
      </w:r>
    </w:p>
    <w:p>
      <w:pPr>
        <w:spacing w:after="0" w:before="100"/>
      </w:pPr>
      <w:r>
        <w:rPr>
          <w:rFonts w:ascii="Arial" w:cs="Arial" w:eastAsia="Arial" w:hAnsi="Arial"/>
        </w:rPr>
        <w:t xml:space="preserve"/>
      </w:r>
    </w:p>
    <w:p>
      <w:pPr>
        <w:pBdr>
          <w:bottom w:val="single" w:color="B0CEDA" w:sz="4" w:space="4"/>
        </w:pBdr>
        <w:spacing w:after="80" w:before="220"/>
      </w:pPr>
      <w:r>
        <w:rPr>
          <w:rFonts w:ascii="Arial" w:cs="Arial" w:eastAsia="Arial" w:hAnsi="Arial"/>
          <w:b/>
          <w:bCs/>
          <w:color w:val="0A2E4A"/>
          <w:sz w:val="24"/>
          <w:szCs w:val="24"/>
        </w:rPr>
        <w:t xml:space="preserve">States with Mandatory Boat Insurance Requirements</w:t>
      </w:r>
    </w:p>
    <w:p>
      <w:pPr>
        <w:spacing w:after="110" w:before="80"/>
      </w:pPr>
      <w:r>
        <w:rPr>
          <w:rFonts w:ascii="Arial" w:cs="Arial" w:eastAsia="Arial" w:hAnsi="Arial"/>
          <w:color w:val="0A1A28"/>
          <w:sz w:val="22"/>
          <w:szCs w:val="22"/>
        </w:rPr>
        <w:t xml:space="preserve">A relatively small number of states require boat owners to carry liability insurance as a condition of boat registration or operation. Even in these states, the minimum required coverage limits are often very low and provide insufficient protection for serious accidents.</w:t>
      </w:r>
    </w:p>
    <w:p>
      <w:pPr>
        <w:spacing w:after="0" w:before="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000"/>
        <w:gridCol w:w="2200"/>
        <w:gridCol w:w="5160"/>
      </w:tblGrid>
      <w:tr>
        <w:tc>
          <w:tcPr>
            <w:tcW w:type="dxa" w:w="2000"/>
            <w:tcBorders>
              <w:top w:val="none" w:color="FFFFFF" w:sz="0"/>
              <w:left w:val="none" w:color="FFFFFF" w:sz="0"/>
              <w:bottom w:val="none" w:color="FFFFFF" w:sz="0"/>
              <w:right w:val="none" w:color="FFFFFF" w:sz="0"/>
            </w:tcBorders>
            <w:shd w:fill="2A3A48"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State</w:t>
            </w:r>
          </w:p>
        </w:tc>
        <w:tc>
          <w:tcPr>
            <w:tcW w:type="dxa" w:w="2200"/>
            <w:tcBorders>
              <w:top w:val="none" w:color="FFFFFF" w:sz="0"/>
              <w:left w:val="none" w:color="FFFFFF" w:sz="0"/>
              <w:bottom w:val="none" w:color="FFFFFF" w:sz="0"/>
              <w:right w:val="none" w:color="FFFFFF" w:sz="0"/>
            </w:tcBorders>
            <w:shd w:fill="1A4E6A"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Requirement</w:t>
            </w:r>
          </w:p>
        </w:tc>
        <w:tc>
          <w:tcPr>
            <w:tcW w:type="dxa" w:w="5160"/>
            <w:tcBorders>
              <w:top w:val="none" w:color="FFFFFF" w:sz="0"/>
              <w:left w:val="none" w:color="FFFFFF" w:sz="0"/>
              <w:bottom w:val="none" w:color="FFFFFF" w:sz="0"/>
              <w:right w:val="none" w:color="FFFFFF" w:sz="0"/>
            </w:tcBorders>
            <w:shd w:fill="1A4E6A"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Key Details</w:t>
            </w:r>
          </w:p>
        </w:tc>
      </w:tr>
      <w:tr>
        <w:tc>
          <w:tcPr>
            <w:tcW w:type="dxa" w:w="2000"/>
            <w:tcBorders>
              <w:top w:val="single" w:color="A8C0D0" w:sz="1"/>
              <w:left w:val="single" w:color="A8C0D0" w:sz="1"/>
              <w:bottom w:val="single" w:color="A8C0D0" w:sz="1"/>
              <w:right w:val="single" w:color="A8C0D0" w:sz="1"/>
            </w:tcBorders>
            <w:shd w:fill="FFFFFF" w:val="clear"/>
            <w:tcMar>
              <w:top w:type="dxa" w:w="80"/>
              <w:left w:type="dxa" w:w="160"/>
              <w:bottom w:type="dxa" w:w="80"/>
              <w:right w:type="dxa" w:w="160"/>
            </w:tcMar>
          </w:tcPr>
          <w:p>
            <w:pPr>
              <w:spacing w:after="0" w:before="0"/>
            </w:pPr>
            <w:r>
              <w:rPr>
                <w:rFonts w:ascii="Arial" w:cs="Arial" w:eastAsia="Arial" w:hAnsi="Arial"/>
                <w:b/>
                <w:bCs/>
                <w:color w:val="0A1A28"/>
                <w:sz w:val="20"/>
                <w:szCs w:val="20"/>
              </w:rPr>
              <w:t xml:space="preserve">Arkansas</w:t>
            </w:r>
          </w:p>
        </w:tc>
        <w:tc>
          <w:tcPr>
            <w:tcW w:type="dxa" w:w="2200"/>
            <w:tcBorders>
              <w:top w:val="single" w:color="A8C0D0" w:sz="1"/>
              <w:left w:val="single" w:color="A8C0D0" w:sz="1"/>
              <w:bottom w:val="single" w:color="A8C0D0" w:sz="1"/>
              <w:right w:val="single" w:color="A8C0D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A3C4A"/>
                <w:sz w:val="20"/>
                <w:szCs w:val="20"/>
              </w:rPr>
              <w:t xml:space="preserve">Required</w:t>
            </w:r>
          </w:p>
        </w:tc>
        <w:tc>
          <w:tcPr>
            <w:tcW w:type="dxa" w:w="5160"/>
            <w:tcBorders>
              <w:top w:val="single" w:color="A8C0D0" w:sz="1"/>
              <w:left w:val="single" w:color="A8C0D0" w:sz="1"/>
              <w:bottom w:val="single" w:color="A8C0D0" w:sz="1"/>
              <w:right w:val="single" w:color="A8C0D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A3C4A"/>
                <w:sz w:val="20"/>
                <w:szCs w:val="20"/>
              </w:rPr>
              <w:t xml:space="preserve">Liability insurance required for all motorized boats</w:t>
            </w:r>
          </w:p>
        </w:tc>
      </w:tr>
      <w:tr>
        <w:tc>
          <w:tcPr>
            <w:tcW w:type="dxa" w:w="2000"/>
            <w:tcBorders>
              <w:top w:val="single" w:color="A8C0D0" w:sz="1"/>
              <w:left w:val="single" w:color="A8C0D0" w:sz="1"/>
              <w:bottom w:val="single" w:color="A8C0D0" w:sz="1"/>
              <w:right w:val="single" w:color="A8C0D0" w:sz="1"/>
            </w:tcBorders>
            <w:shd w:fill="EBF4F8" w:val="clear"/>
            <w:tcMar>
              <w:top w:type="dxa" w:w="80"/>
              <w:left w:type="dxa" w:w="160"/>
              <w:bottom w:type="dxa" w:w="80"/>
              <w:right w:type="dxa" w:w="160"/>
            </w:tcMar>
          </w:tcPr>
          <w:p>
            <w:pPr>
              <w:spacing w:after="0" w:before="0"/>
            </w:pPr>
            <w:r>
              <w:rPr>
                <w:rFonts w:ascii="Arial" w:cs="Arial" w:eastAsia="Arial" w:hAnsi="Arial"/>
                <w:b/>
                <w:bCs/>
                <w:color w:val="0A1A28"/>
                <w:sz w:val="20"/>
                <w:szCs w:val="20"/>
              </w:rPr>
              <w:t xml:space="preserve">Utah</w:t>
            </w:r>
          </w:p>
        </w:tc>
        <w:tc>
          <w:tcPr>
            <w:tcW w:type="dxa" w:w="2200"/>
            <w:tcBorders>
              <w:top w:val="single" w:color="A8C0D0" w:sz="1"/>
              <w:left w:val="single" w:color="A8C0D0" w:sz="1"/>
              <w:bottom w:val="single" w:color="A8C0D0" w:sz="1"/>
              <w:right w:val="single" w:color="A8C0D0" w:sz="1"/>
            </w:tcBorders>
            <w:shd w:fill="EBF4F8" w:val="clear"/>
            <w:tcMar>
              <w:top w:type="dxa" w:w="80"/>
              <w:left w:type="dxa" w:w="160"/>
              <w:bottom w:type="dxa" w:w="80"/>
              <w:right w:type="dxa" w:w="160"/>
            </w:tcMar>
          </w:tcPr>
          <w:p>
            <w:pPr>
              <w:spacing w:after="0" w:before="0"/>
            </w:pPr>
            <w:r>
              <w:rPr>
                <w:rFonts w:ascii="Arial" w:cs="Arial" w:eastAsia="Arial" w:hAnsi="Arial"/>
                <w:b w:val="false"/>
                <w:bCs w:val="false"/>
                <w:color w:val="2A3C4A"/>
                <w:sz w:val="20"/>
                <w:szCs w:val="20"/>
              </w:rPr>
              <w:t xml:space="preserve">Required</w:t>
            </w:r>
          </w:p>
        </w:tc>
        <w:tc>
          <w:tcPr>
            <w:tcW w:type="dxa" w:w="5160"/>
            <w:tcBorders>
              <w:top w:val="single" w:color="A8C0D0" w:sz="1"/>
              <w:left w:val="single" w:color="A8C0D0" w:sz="1"/>
              <w:bottom w:val="single" w:color="A8C0D0" w:sz="1"/>
              <w:right w:val="single" w:color="A8C0D0" w:sz="1"/>
            </w:tcBorders>
            <w:shd w:fill="EBF4F8" w:val="clear"/>
            <w:tcMar>
              <w:top w:type="dxa" w:w="80"/>
              <w:left w:type="dxa" w:w="160"/>
              <w:bottom w:type="dxa" w:w="80"/>
              <w:right w:type="dxa" w:w="160"/>
            </w:tcMar>
          </w:tcPr>
          <w:p>
            <w:pPr>
              <w:spacing w:after="0" w:before="0"/>
            </w:pPr>
            <w:r>
              <w:rPr>
                <w:rFonts w:ascii="Arial" w:cs="Arial" w:eastAsia="Arial" w:hAnsi="Arial"/>
                <w:b w:val="false"/>
                <w:bCs w:val="false"/>
                <w:color w:val="2A3C4A"/>
                <w:sz w:val="20"/>
                <w:szCs w:val="20"/>
              </w:rPr>
              <w:t xml:space="preserve">Liability required for all vessels with motors</w:t>
            </w:r>
          </w:p>
        </w:tc>
      </w:tr>
      <w:tr>
        <w:tc>
          <w:tcPr>
            <w:tcW w:type="dxa" w:w="2000"/>
            <w:tcBorders>
              <w:top w:val="single" w:color="A8C0D0" w:sz="1"/>
              <w:left w:val="single" w:color="A8C0D0" w:sz="1"/>
              <w:bottom w:val="single" w:color="A8C0D0" w:sz="1"/>
              <w:right w:val="single" w:color="A8C0D0" w:sz="1"/>
            </w:tcBorders>
            <w:shd w:fill="FFFFFF" w:val="clear"/>
            <w:tcMar>
              <w:top w:type="dxa" w:w="80"/>
              <w:left w:type="dxa" w:w="160"/>
              <w:bottom w:type="dxa" w:w="80"/>
              <w:right w:type="dxa" w:w="160"/>
            </w:tcMar>
          </w:tcPr>
          <w:p>
            <w:pPr>
              <w:spacing w:after="0" w:before="0"/>
            </w:pPr>
            <w:r>
              <w:rPr>
                <w:rFonts w:ascii="Arial" w:cs="Arial" w:eastAsia="Arial" w:hAnsi="Arial"/>
                <w:b/>
                <w:bCs/>
                <w:color w:val="0A1A28"/>
                <w:sz w:val="20"/>
                <w:szCs w:val="20"/>
              </w:rPr>
              <w:t xml:space="preserve">Hawaii</w:t>
            </w:r>
          </w:p>
        </w:tc>
        <w:tc>
          <w:tcPr>
            <w:tcW w:type="dxa" w:w="2200"/>
            <w:tcBorders>
              <w:top w:val="single" w:color="A8C0D0" w:sz="1"/>
              <w:left w:val="single" w:color="A8C0D0" w:sz="1"/>
              <w:bottom w:val="single" w:color="A8C0D0" w:sz="1"/>
              <w:right w:val="single" w:color="A8C0D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A3C4A"/>
                <w:sz w:val="20"/>
                <w:szCs w:val="20"/>
              </w:rPr>
              <w:t xml:space="preserve">Required</w:t>
            </w:r>
          </w:p>
        </w:tc>
        <w:tc>
          <w:tcPr>
            <w:tcW w:type="dxa" w:w="5160"/>
            <w:tcBorders>
              <w:top w:val="single" w:color="A8C0D0" w:sz="1"/>
              <w:left w:val="single" w:color="A8C0D0" w:sz="1"/>
              <w:bottom w:val="single" w:color="A8C0D0" w:sz="1"/>
              <w:right w:val="single" w:color="A8C0D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A3C4A"/>
                <w:sz w:val="20"/>
                <w:szCs w:val="20"/>
              </w:rPr>
              <w:t xml:space="preserve">Liability insurance required for registered vessels</w:t>
            </w:r>
          </w:p>
        </w:tc>
      </w:tr>
      <w:tr>
        <w:tc>
          <w:tcPr>
            <w:tcW w:type="dxa" w:w="2000"/>
            <w:tcBorders>
              <w:top w:val="single" w:color="A8C0D0" w:sz="1"/>
              <w:left w:val="single" w:color="A8C0D0" w:sz="1"/>
              <w:bottom w:val="single" w:color="A8C0D0" w:sz="1"/>
              <w:right w:val="single" w:color="A8C0D0" w:sz="1"/>
            </w:tcBorders>
            <w:shd w:fill="EBF4F8" w:val="clear"/>
            <w:tcMar>
              <w:top w:type="dxa" w:w="80"/>
              <w:left w:type="dxa" w:w="160"/>
              <w:bottom w:type="dxa" w:w="80"/>
              <w:right w:type="dxa" w:w="160"/>
            </w:tcMar>
          </w:tcPr>
          <w:p>
            <w:pPr>
              <w:spacing w:after="0" w:before="0"/>
            </w:pPr>
            <w:r>
              <w:rPr>
                <w:rFonts w:ascii="Arial" w:cs="Arial" w:eastAsia="Arial" w:hAnsi="Arial"/>
                <w:b/>
                <w:bCs/>
                <w:color w:val="0A1A28"/>
                <w:sz w:val="20"/>
                <w:szCs w:val="20"/>
              </w:rPr>
              <w:t xml:space="preserve">Oklahoma</w:t>
            </w:r>
          </w:p>
        </w:tc>
        <w:tc>
          <w:tcPr>
            <w:tcW w:type="dxa" w:w="2200"/>
            <w:tcBorders>
              <w:top w:val="single" w:color="A8C0D0" w:sz="1"/>
              <w:left w:val="single" w:color="A8C0D0" w:sz="1"/>
              <w:bottom w:val="single" w:color="A8C0D0" w:sz="1"/>
              <w:right w:val="single" w:color="A8C0D0" w:sz="1"/>
            </w:tcBorders>
            <w:shd w:fill="EBF4F8" w:val="clear"/>
            <w:tcMar>
              <w:top w:type="dxa" w:w="80"/>
              <w:left w:type="dxa" w:w="160"/>
              <w:bottom w:type="dxa" w:w="80"/>
              <w:right w:type="dxa" w:w="160"/>
            </w:tcMar>
          </w:tcPr>
          <w:p>
            <w:pPr>
              <w:spacing w:after="0" w:before="0"/>
            </w:pPr>
            <w:r>
              <w:rPr>
                <w:rFonts w:ascii="Arial" w:cs="Arial" w:eastAsia="Arial" w:hAnsi="Arial"/>
                <w:b w:val="false"/>
                <w:bCs w:val="false"/>
                <w:color w:val="2A3C4A"/>
                <w:sz w:val="20"/>
                <w:szCs w:val="20"/>
              </w:rPr>
              <w:t xml:space="preserve">Required</w:t>
            </w:r>
          </w:p>
        </w:tc>
        <w:tc>
          <w:tcPr>
            <w:tcW w:type="dxa" w:w="5160"/>
            <w:tcBorders>
              <w:top w:val="single" w:color="A8C0D0" w:sz="1"/>
              <w:left w:val="single" w:color="A8C0D0" w:sz="1"/>
              <w:bottom w:val="single" w:color="A8C0D0" w:sz="1"/>
              <w:right w:val="single" w:color="A8C0D0" w:sz="1"/>
            </w:tcBorders>
            <w:shd w:fill="EBF4F8" w:val="clear"/>
            <w:tcMar>
              <w:top w:type="dxa" w:w="80"/>
              <w:left w:type="dxa" w:w="160"/>
              <w:bottom w:type="dxa" w:w="80"/>
              <w:right w:type="dxa" w:w="160"/>
            </w:tcMar>
          </w:tcPr>
          <w:p>
            <w:pPr>
              <w:spacing w:after="0" w:before="0"/>
            </w:pPr>
            <w:r>
              <w:rPr>
                <w:rFonts w:ascii="Arial" w:cs="Arial" w:eastAsia="Arial" w:hAnsi="Arial"/>
                <w:b w:val="false"/>
                <w:bCs w:val="false"/>
                <w:color w:val="2A3C4A"/>
                <w:sz w:val="20"/>
                <w:szCs w:val="20"/>
              </w:rPr>
              <w:t xml:space="preserve">Liability required for vessels over certain horsepower</w:t>
            </w:r>
          </w:p>
        </w:tc>
      </w:tr>
      <w:tr>
        <w:tc>
          <w:tcPr>
            <w:tcW w:type="dxa" w:w="2000"/>
            <w:tcBorders>
              <w:top w:val="single" w:color="A8C0D0" w:sz="1"/>
              <w:left w:val="single" w:color="A8C0D0" w:sz="1"/>
              <w:bottom w:val="single" w:color="A8C0D0" w:sz="1"/>
              <w:right w:val="single" w:color="A8C0D0" w:sz="1"/>
            </w:tcBorders>
            <w:shd w:fill="FFFFFF" w:val="clear"/>
            <w:tcMar>
              <w:top w:type="dxa" w:w="80"/>
              <w:left w:type="dxa" w:w="160"/>
              <w:bottom w:type="dxa" w:w="80"/>
              <w:right w:type="dxa" w:w="160"/>
            </w:tcMar>
          </w:tcPr>
          <w:p>
            <w:pPr>
              <w:spacing w:after="0" w:before="0"/>
            </w:pPr>
            <w:r>
              <w:rPr>
                <w:rFonts w:ascii="Arial" w:cs="Arial" w:eastAsia="Arial" w:hAnsi="Arial"/>
                <w:b/>
                <w:bCs/>
                <w:color w:val="0A1A28"/>
                <w:sz w:val="20"/>
                <w:szCs w:val="20"/>
              </w:rPr>
              <w:t xml:space="preserve">Rhode Island</w:t>
            </w:r>
          </w:p>
        </w:tc>
        <w:tc>
          <w:tcPr>
            <w:tcW w:type="dxa" w:w="2200"/>
            <w:tcBorders>
              <w:top w:val="single" w:color="A8C0D0" w:sz="1"/>
              <w:left w:val="single" w:color="A8C0D0" w:sz="1"/>
              <w:bottom w:val="single" w:color="A8C0D0" w:sz="1"/>
              <w:right w:val="single" w:color="A8C0D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A3C4A"/>
                <w:sz w:val="20"/>
                <w:szCs w:val="20"/>
              </w:rPr>
              <w:t xml:space="preserve">Required</w:t>
            </w:r>
          </w:p>
        </w:tc>
        <w:tc>
          <w:tcPr>
            <w:tcW w:type="dxa" w:w="5160"/>
            <w:tcBorders>
              <w:top w:val="single" w:color="A8C0D0" w:sz="1"/>
              <w:left w:val="single" w:color="A8C0D0" w:sz="1"/>
              <w:bottom w:val="single" w:color="A8C0D0" w:sz="1"/>
              <w:right w:val="single" w:color="A8C0D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A3C4A"/>
                <w:sz w:val="20"/>
                <w:szCs w:val="20"/>
              </w:rPr>
              <w:t xml:space="preserve">Liability required for motorized boats</w:t>
            </w:r>
          </w:p>
        </w:tc>
      </w:tr>
      <w:tr>
        <w:tc>
          <w:tcPr>
            <w:tcW w:type="dxa" w:w="2000"/>
            <w:tcBorders>
              <w:top w:val="single" w:color="A8C0D0" w:sz="1"/>
              <w:left w:val="single" w:color="A8C0D0" w:sz="1"/>
              <w:bottom w:val="single" w:color="A8C0D0" w:sz="1"/>
              <w:right w:val="single" w:color="A8C0D0" w:sz="1"/>
            </w:tcBorders>
            <w:shd w:fill="EBF4F8" w:val="clear"/>
            <w:tcMar>
              <w:top w:type="dxa" w:w="80"/>
              <w:left w:type="dxa" w:w="160"/>
              <w:bottom w:type="dxa" w:w="80"/>
              <w:right w:type="dxa" w:w="160"/>
            </w:tcMar>
          </w:tcPr>
          <w:p>
            <w:pPr>
              <w:spacing w:after="0" w:before="0"/>
            </w:pPr>
            <w:r>
              <w:rPr>
                <w:rFonts w:ascii="Arial" w:cs="Arial" w:eastAsia="Arial" w:hAnsi="Arial"/>
                <w:b/>
                <w:bCs/>
                <w:color w:val="0A1A28"/>
                <w:sz w:val="20"/>
                <w:szCs w:val="20"/>
              </w:rPr>
              <w:t xml:space="preserve">California</w:t>
            </w:r>
          </w:p>
        </w:tc>
        <w:tc>
          <w:tcPr>
            <w:tcW w:type="dxa" w:w="2200"/>
            <w:tcBorders>
              <w:top w:val="single" w:color="A8C0D0" w:sz="1"/>
              <w:left w:val="single" w:color="A8C0D0" w:sz="1"/>
              <w:bottom w:val="single" w:color="A8C0D0" w:sz="1"/>
              <w:right w:val="single" w:color="A8C0D0" w:sz="1"/>
            </w:tcBorders>
            <w:shd w:fill="EBF4F8" w:val="clear"/>
            <w:tcMar>
              <w:top w:type="dxa" w:w="80"/>
              <w:left w:type="dxa" w:w="160"/>
              <w:bottom w:type="dxa" w:w="80"/>
              <w:right w:type="dxa" w:w="160"/>
            </w:tcMar>
          </w:tcPr>
          <w:p>
            <w:pPr>
              <w:spacing w:after="0" w:before="0"/>
            </w:pPr>
            <w:r>
              <w:rPr>
                <w:rFonts w:ascii="Arial" w:cs="Arial" w:eastAsia="Arial" w:hAnsi="Arial"/>
                <w:b w:val="false"/>
                <w:bCs w:val="false"/>
                <w:color w:val="2A3C4A"/>
                <w:sz w:val="20"/>
                <w:szCs w:val="20"/>
              </w:rPr>
              <w:t xml:space="preserve">Not required</w:t>
            </w:r>
          </w:p>
        </w:tc>
        <w:tc>
          <w:tcPr>
            <w:tcW w:type="dxa" w:w="5160"/>
            <w:tcBorders>
              <w:top w:val="single" w:color="A8C0D0" w:sz="1"/>
              <w:left w:val="single" w:color="A8C0D0" w:sz="1"/>
              <w:bottom w:val="single" w:color="A8C0D0" w:sz="1"/>
              <w:right w:val="single" w:color="A8C0D0" w:sz="1"/>
            </w:tcBorders>
            <w:shd w:fill="EBF4F8" w:val="clear"/>
            <w:tcMar>
              <w:top w:type="dxa" w:w="80"/>
              <w:left w:type="dxa" w:w="160"/>
              <w:bottom w:type="dxa" w:w="80"/>
              <w:right w:type="dxa" w:w="160"/>
            </w:tcMar>
          </w:tcPr>
          <w:p>
            <w:pPr>
              <w:spacing w:after="0" w:before="0"/>
            </w:pPr>
            <w:r>
              <w:rPr>
                <w:rFonts w:ascii="Arial" w:cs="Arial" w:eastAsia="Arial" w:hAnsi="Arial"/>
                <w:b w:val="false"/>
                <w:bCs w:val="false"/>
                <w:color w:val="2A3C4A"/>
                <w:sz w:val="20"/>
                <w:szCs w:val="20"/>
              </w:rPr>
              <w:t xml:space="preserve">Insurance strongly recommended; marinas often require it</w:t>
            </w:r>
          </w:p>
        </w:tc>
      </w:tr>
      <w:tr>
        <w:tc>
          <w:tcPr>
            <w:tcW w:type="dxa" w:w="2000"/>
            <w:tcBorders>
              <w:top w:val="single" w:color="A8C0D0" w:sz="1"/>
              <w:left w:val="single" w:color="A8C0D0" w:sz="1"/>
              <w:bottom w:val="single" w:color="A8C0D0" w:sz="1"/>
              <w:right w:val="single" w:color="A8C0D0" w:sz="1"/>
            </w:tcBorders>
            <w:shd w:fill="FFFFFF" w:val="clear"/>
            <w:tcMar>
              <w:top w:type="dxa" w:w="80"/>
              <w:left w:type="dxa" w:w="160"/>
              <w:bottom w:type="dxa" w:w="80"/>
              <w:right w:type="dxa" w:w="160"/>
            </w:tcMar>
          </w:tcPr>
          <w:p>
            <w:pPr>
              <w:spacing w:after="0" w:before="0"/>
            </w:pPr>
            <w:r>
              <w:rPr>
                <w:rFonts w:ascii="Arial" w:cs="Arial" w:eastAsia="Arial" w:hAnsi="Arial"/>
                <w:b/>
                <w:bCs/>
                <w:color w:val="0A1A28"/>
                <w:sz w:val="20"/>
                <w:szCs w:val="20"/>
              </w:rPr>
              <w:t xml:space="preserve">Florida</w:t>
            </w:r>
          </w:p>
        </w:tc>
        <w:tc>
          <w:tcPr>
            <w:tcW w:type="dxa" w:w="2200"/>
            <w:tcBorders>
              <w:top w:val="single" w:color="A8C0D0" w:sz="1"/>
              <w:left w:val="single" w:color="A8C0D0" w:sz="1"/>
              <w:bottom w:val="single" w:color="A8C0D0" w:sz="1"/>
              <w:right w:val="single" w:color="A8C0D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A3C4A"/>
                <w:sz w:val="20"/>
                <w:szCs w:val="20"/>
              </w:rPr>
              <w:t xml:space="preserve">Not required</w:t>
            </w:r>
          </w:p>
        </w:tc>
        <w:tc>
          <w:tcPr>
            <w:tcW w:type="dxa" w:w="5160"/>
            <w:tcBorders>
              <w:top w:val="single" w:color="A8C0D0" w:sz="1"/>
              <w:left w:val="single" w:color="A8C0D0" w:sz="1"/>
              <w:bottom w:val="single" w:color="A8C0D0" w:sz="1"/>
              <w:right w:val="single" w:color="A8C0D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A3C4A"/>
                <w:sz w:val="20"/>
                <w:szCs w:val="20"/>
              </w:rPr>
              <w:t xml:space="preserve">No state mandate; marina and lender requirements apply</w:t>
            </w:r>
          </w:p>
        </w:tc>
      </w:tr>
      <w:tr>
        <w:tc>
          <w:tcPr>
            <w:tcW w:type="dxa" w:w="2000"/>
            <w:tcBorders>
              <w:top w:val="single" w:color="A8C0D0" w:sz="1"/>
              <w:left w:val="single" w:color="A8C0D0" w:sz="1"/>
              <w:bottom w:val="single" w:color="A8C0D0" w:sz="1"/>
              <w:right w:val="single" w:color="A8C0D0" w:sz="1"/>
            </w:tcBorders>
            <w:shd w:fill="EBF4F8" w:val="clear"/>
            <w:tcMar>
              <w:top w:type="dxa" w:w="80"/>
              <w:left w:type="dxa" w:w="160"/>
              <w:bottom w:type="dxa" w:w="80"/>
              <w:right w:type="dxa" w:w="160"/>
            </w:tcMar>
          </w:tcPr>
          <w:p>
            <w:pPr>
              <w:spacing w:after="0" w:before="0"/>
            </w:pPr>
            <w:r>
              <w:rPr>
                <w:rFonts w:ascii="Arial" w:cs="Arial" w:eastAsia="Arial" w:hAnsi="Arial"/>
                <w:b/>
                <w:bCs/>
                <w:color w:val="0A1A28"/>
                <w:sz w:val="20"/>
                <w:szCs w:val="20"/>
              </w:rPr>
              <w:t xml:space="preserve">Texas</w:t>
            </w:r>
          </w:p>
        </w:tc>
        <w:tc>
          <w:tcPr>
            <w:tcW w:type="dxa" w:w="2200"/>
            <w:tcBorders>
              <w:top w:val="single" w:color="A8C0D0" w:sz="1"/>
              <w:left w:val="single" w:color="A8C0D0" w:sz="1"/>
              <w:bottom w:val="single" w:color="A8C0D0" w:sz="1"/>
              <w:right w:val="single" w:color="A8C0D0" w:sz="1"/>
            </w:tcBorders>
            <w:shd w:fill="EBF4F8" w:val="clear"/>
            <w:tcMar>
              <w:top w:type="dxa" w:w="80"/>
              <w:left w:type="dxa" w:w="160"/>
              <w:bottom w:type="dxa" w:w="80"/>
              <w:right w:type="dxa" w:w="160"/>
            </w:tcMar>
          </w:tcPr>
          <w:p>
            <w:pPr>
              <w:spacing w:after="0" w:before="0"/>
            </w:pPr>
            <w:r>
              <w:rPr>
                <w:rFonts w:ascii="Arial" w:cs="Arial" w:eastAsia="Arial" w:hAnsi="Arial"/>
                <w:b w:val="false"/>
                <w:bCs w:val="false"/>
                <w:color w:val="2A3C4A"/>
                <w:sz w:val="20"/>
                <w:szCs w:val="20"/>
              </w:rPr>
              <w:t xml:space="preserve">Not required</w:t>
            </w:r>
          </w:p>
        </w:tc>
        <w:tc>
          <w:tcPr>
            <w:tcW w:type="dxa" w:w="5160"/>
            <w:tcBorders>
              <w:top w:val="single" w:color="A8C0D0" w:sz="1"/>
              <w:left w:val="single" w:color="A8C0D0" w:sz="1"/>
              <w:bottom w:val="single" w:color="A8C0D0" w:sz="1"/>
              <w:right w:val="single" w:color="A8C0D0" w:sz="1"/>
            </w:tcBorders>
            <w:shd w:fill="EBF4F8" w:val="clear"/>
            <w:tcMar>
              <w:top w:type="dxa" w:w="80"/>
              <w:left w:type="dxa" w:w="160"/>
              <w:bottom w:type="dxa" w:w="80"/>
              <w:right w:type="dxa" w:w="160"/>
            </w:tcMar>
          </w:tcPr>
          <w:p>
            <w:pPr>
              <w:spacing w:after="0" w:before="0"/>
            </w:pPr>
            <w:r>
              <w:rPr>
                <w:rFonts w:ascii="Arial" w:cs="Arial" w:eastAsia="Arial" w:hAnsi="Arial"/>
                <w:b w:val="false"/>
                <w:bCs w:val="false"/>
                <w:color w:val="2A3C4A"/>
                <w:sz w:val="20"/>
                <w:szCs w:val="20"/>
              </w:rPr>
              <w:t xml:space="preserve">No state mandate; boater education may reduce risk rating</w:t>
            </w:r>
          </w:p>
        </w:tc>
      </w:tr>
      <w:tr>
        <w:tc>
          <w:tcPr>
            <w:tcW w:type="dxa" w:w="2000"/>
            <w:tcBorders>
              <w:top w:val="single" w:color="A8C0D0" w:sz="1"/>
              <w:left w:val="single" w:color="A8C0D0" w:sz="1"/>
              <w:bottom w:val="single" w:color="A8C0D0" w:sz="1"/>
              <w:right w:val="single" w:color="A8C0D0" w:sz="1"/>
            </w:tcBorders>
            <w:shd w:fill="FFFFFF" w:val="clear"/>
            <w:tcMar>
              <w:top w:type="dxa" w:w="80"/>
              <w:left w:type="dxa" w:w="160"/>
              <w:bottom w:type="dxa" w:w="80"/>
              <w:right w:type="dxa" w:w="160"/>
            </w:tcMar>
          </w:tcPr>
          <w:p>
            <w:pPr>
              <w:spacing w:after="0" w:before="0"/>
            </w:pPr>
            <w:r>
              <w:rPr>
                <w:rFonts w:ascii="Arial" w:cs="Arial" w:eastAsia="Arial" w:hAnsi="Arial"/>
                <w:b/>
                <w:bCs/>
                <w:color w:val="0A1A28"/>
                <w:sz w:val="20"/>
                <w:szCs w:val="20"/>
              </w:rPr>
              <w:t xml:space="preserve">New York</w:t>
            </w:r>
          </w:p>
        </w:tc>
        <w:tc>
          <w:tcPr>
            <w:tcW w:type="dxa" w:w="2200"/>
            <w:tcBorders>
              <w:top w:val="single" w:color="A8C0D0" w:sz="1"/>
              <w:left w:val="single" w:color="A8C0D0" w:sz="1"/>
              <w:bottom w:val="single" w:color="A8C0D0" w:sz="1"/>
              <w:right w:val="single" w:color="A8C0D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A3C4A"/>
                <w:sz w:val="20"/>
                <w:szCs w:val="20"/>
              </w:rPr>
              <w:t xml:space="preserve">Not required</w:t>
            </w:r>
          </w:p>
        </w:tc>
        <w:tc>
          <w:tcPr>
            <w:tcW w:type="dxa" w:w="5160"/>
            <w:tcBorders>
              <w:top w:val="single" w:color="A8C0D0" w:sz="1"/>
              <w:left w:val="single" w:color="A8C0D0" w:sz="1"/>
              <w:bottom w:val="single" w:color="A8C0D0" w:sz="1"/>
              <w:right w:val="single" w:color="A8C0D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A3C4A"/>
                <w:sz w:val="20"/>
                <w:szCs w:val="20"/>
              </w:rPr>
              <w:t xml:space="preserve">No state law; marina requirements common</w:t>
            </w:r>
          </w:p>
        </w:tc>
      </w:tr>
      <w:tr>
        <w:tc>
          <w:tcPr>
            <w:tcW w:type="dxa" w:w="2000"/>
            <w:tcBorders>
              <w:top w:val="single" w:color="A8C0D0" w:sz="1"/>
              <w:left w:val="single" w:color="A8C0D0" w:sz="1"/>
              <w:bottom w:val="single" w:color="A8C0D0" w:sz="1"/>
              <w:right w:val="single" w:color="A8C0D0" w:sz="1"/>
            </w:tcBorders>
            <w:shd w:fill="EBF4F8" w:val="clear"/>
            <w:tcMar>
              <w:top w:type="dxa" w:w="80"/>
              <w:left w:type="dxa" w:w="160"/>
              <w:bottom w:type="dxa" w:w="80"/>
              <w:right w:type="dxa" w:w="160"/>
            </w:tcMar>
          </w:tcPr>
          <w:p>
            <w:pPr>
              <w:spacing w:after="0" w:before="0"/>
            </w:pPr>
            <w:r>
              <w:rPr>
                <w:rFonts w:ascii="Arial" w:cs="Arial" w:eastAsia="Arial" w:hAnsi="Arial"/>
                <w:b/>
                <w:bCs/>
                <w:color w:val="0A1A28"/>
                <w:sz w:val="20"/>
                <w:szCs w:val="20"/>
              </w:rPr>
              <w:t xml:space="preserve">Michigan</w:t>
            </w:r>
          </w:p>
        </w:tc>
        <w:tc>
          <w:tcPr>
            <w:tcW w:type="dxa" w:w="2200"/>
            <w:tcBorders>
              <w:top w:val="single" w:color="A8C0D0" w:sz="1"/>
              <w:left w:val="single" w:color="A8C0D0" w:sz="1"/>
              <w:bottom w:val="single" w:color="A8C0D0" w:sz="1"/>
              <w:right w:val="single" w:color="A8C0D0" w:sz="1"/>
            </w:tcBorders>
            <w:shd w:fill="EBF4F8" w:val="clear"/>
            <w:tcMar>
              <w:top w:type="dxa" w:w="80"/>
              <w:left w:type="dxa" w:w="160"/>
              <w:bottom w:type="dxa" w:w="80"/>
              <w:right w:type="dxa" w:w="160"/>
            </w:tcMar>
          </w:tcPr>
          <w:p>
            <w:pPr>
              <w:spacing w:after="0" w:before="0"/>
            </w:pPr>
            <w:r>
              <w:rPr>
                <w:rFonts w:ascii="Arial" w:cs="Arial" w:eastAsia="Arial" w:hAnsi="Arial"/>
                <w:b w:val="false"/>
                <w:bCs w:val="false"/>
                <w:color w:val="2A3C4A"/>
                <w:sz w:val="20"/>
                <w:szCs w:val="20"/>
              </w:rPr>
              <w:t xml:space="preserve">Not required</w:t>
            </w:r>
          </w:p>
        </w:tc>
        <w:tc>
          <w:tcPr>
            <w:tcW w:type="dxa" w:w="5160"/>
            <w:tcBorders>
              <w:top w:val="single" w:color="A8C0D0" w:sz="1"/>
              <w:left w:val="single" w:color="A8C0D0" w:sz="1"/>
              <w:bottom w:val="single" w:color="A8C0D0" w:sz="1"/>
              <w:right w:val="single" w:color="A8C0D0" w:sz="1"/>
            </w:tcBorders>
            <w:shd w:fill="EBF4F8" w:val="clear"/>
            <w:tcMar>
              <w:top w:type="dxa" w:w="80"/>
              <w:left w:type="dxa" w:w="160"/>
              <w:bottom w:type="dxa" w:w="80"/>
              <w:right w:type="dxa" w:w="160"/>
            </w:tcMar>
          </w:tcPr>
          <w:p>
            <w:pPr>
              <w:spacing w:after="0" w:before="0"/>
            </w:pPr>
            <w:r>
              <w:rPr>
                <w:rFonts w:ascii="Arial" w:cs="Arial" w:eastAsia="Arial" w:hAnsi="Arial"/>
                <w:b w:val="false"/>
                <w:bCs w:val="false"/>
                <w:color w:val="2A3C4A"/>
                <w:sz w:val="20"/>
                <w:szCs w:val="20"/>
              </w:rPr>
              <w:t xml:space="preserve">No state mandate despite Great Lakes boating culture</w:t>
            </w:r>
          </w:p>
        </w:tc>
      </w:tr>
    </w:tbl>
    <w:p>
      <w:pPr>
        <w:spacing w:after="0" w:before="100"/>
      </w:pPr>
      <w:r>
        <w:rPr>
          <w:rFonts w:ascii="Arial" w:cs="Arial" w:eastAsia="Arial" w:hAnsi="Arial"/>
        </w:rPr>
        <w:t xml:space="preserve"/>
      </w:r>
    </w:p>
    <w:p>
      <w:pPr>
        <w:pBdr>
          <w:bottom w:val="single" w:color="B0CEDA" w:sz="4" w:space="4"/>
        </w:pBdr>
        <w:spacing w:after="80" w:before="220"/>
      </w:pPr>
      <w:r>
        <w:rPr>
          <w:rFonts w:ascii="Arial" w:cs="Arial" w:eastAsia="Arial" w:hAnsi="Arial"/>
          <w:b/>
          <w:bCs/>
          <w:color w:val="0A2E4A"/>
          <w:sz w:val="24"/>
          <w:szCs w:val="24"/>
        </w:rPr>
        <w:t xml:space="preserve">Non-Mandatory Contexts Where Insurance Is Effectively Required</w:t>
      </w:r>
    </w:p>
    <w:p>
      <w:pPr>
        <w:spacing w:after="110" w:before="80"/>
      </w:pPr>
      <w:r>
        <w:rPr>
          <w:rFonts w:ascii="Arial" w:cs="Arial" w:eastAsia="Arial" w:hAnsi="Arial"/>
          <w:color w:val="0A1A28"/>
          <w:sz w:val="22"/>
          <w:szCs w:val="22"/>
        </w:rPr>
        <w:t xml:space="preserve">Even in states where boat insurance is not legally mandated, practical requirements make insurance necessary for most boat owners:</w:t>
      </w:r>
    </w:p>
    <w:p>
      <w:pPr>
        <w:spacing w:after="0" w:before="60"/>
      </w:pPr>
      <w:r>
        <w:rPr>
          <w:rFonts w:ascii="Arial" w:cs="Arial" w:eastAsia="Arial" w:hAnsi="Arial"/>
        </w:rPr>
        <w:t xml:space="preserve"/>
      </w:r>
    </w:p>
    <w:p>
      <w:pPr>
        <w:pStyle w:val="ListParagraph"/>
        <w:numPr>
          <w:ilvl w:val="0"/>
          <w:numId w:val="2"/>
        </w:numPr>
        <w:spacing w:after="60" w:before="60"/>
      </w:pPr>
      <w:r>
        <w:rPr>
          <w:rFonts w:ascii="Arial" w:cs="Arial" w:eastAsia="Arial" w:hAnsi="Arial"/>
          <w:b/>
          <w:bCs/>
          <w:color w:val="0D6E8A"/>
          <w:sz w:val="22"/>
          <w:szCs w:val="22"/>
        </w:rPr>
        <w:t xml:space="preserve">Marina requirements — </w:t>
      </w:r>
      <w:r>
        <w:rPr>
          <w:rFonts w:ascii="Arial" w:cs="Arial" w:eastAsia="Arial" w:hAnsi="Arial"/>
          <w:color w:val="2A3C4A"/>
          <w:sz w:val="22"/>
          <w:szCs w:val="22"/>
        </w:rPr>
        <w:t xml:space="preserve">virtually all marinas, yacht clubs, and boat storage facilities require proof of liability insurance — typically a minimum of $300,000 — as a condition of slip rental or storage</w:t>
      </w:r>
    </w:p>
    <w:p>
      <w:pPr>
        <w:pStyle w:val="ListParagraph"/>
        <w:numPr>
          <w:ilvl w:val="0"/>
          <w:numId w:val="2"/>
        </w:numPr>
        <w:spacing w:after="60" w:before="60"/>
      </w:pPr>
      <w:r>
        <w:rPr>
          <w:rFonts w:ascii="Arial" w:cs="Arial" w:eastAsia="Arial" w:hAnsi="Arial"/>
          <w:b/>
          <w:bCs/>
          <w:color w:val="0D6E8A"/>
          <w:sz w:val="22"/>
          <w:szCs w:val="22"/>
        </w:rPr>
        <w:t xml:space="preserve">Lender requirements — </w:t>
      </w:r>
      <w:r>
        <w:rPr>
          <w:rFonts w:ascii="Arial" w:cs="Arial" w:eastAsia="Arial" w:hAnsi="Arial"/>
          <w:color w:val="2A3C4A"/>
          <w:sz w:val="22"/>
          <w:szCs w:val="22"/>
        </w:rPr>
        <w:t xml:space="preserve">any boat purchased with financing requires collision and comprehensive coverage for the life of the loan, regardless of state law</w:t>
      </w:r>
    </w:p>
    <w:p>
      <w:pPr>
        <w:pStyle w:val="ListParagraph"/>
        <w:numPr>
          <w:ilvl w:val="0"/>
          <w:numId w:val="2"/>
        </w:numPr>
        <w:spacing w:after="60" w:before="60"/>
      </w:pPr>
      <w:r>
        <w:rPr>
          <w:rFonts w:ascii="Arial" w:cs="Arial" w:eastAsia="Arial" w:hAnsi="Arial"/>
          <w:b/>
          <w:bCs/>
          <w:color w:val="0D6E8A"/>
          <w:sz w:val="22"/>
          <w:szCs w:val="22"/>
        </w:rPr>
        <w:t xml:space="preserve">Boating event requirements — </w:t>
      </w:r>
      <w:r>
        <w:rPr>
          <w:rFonts w:ascii="Arial" w:cs="Arial" w:eastAsia="Arial" w:hAnsi="Arial"/>
          <w:color w:val="2A3C4A"/>
          <w:sz w:val="22"/>
          <w:szCs w:val="22"/>
        </w:rPr>
        <w:t xml:space="preserve">fishing tournaments, regattas, and organized boating events often require proof of insurance to participate</w:t>
      </w:r>
    </w:p>
    <w:p>
      <w:pPr>
        <w:pStyle w:val="ListParagraph"/>
        <w:numPr>
          <w:ilvl w:val="0"/>
          <w:numId w:val="2"/>
        </w:numPr>
        <w:spacing w:after="60" w:before="60"/>
      </w:pPr>
      <w:r>
        <w:rPr>
          <w:rFonts w:ascii="Arial" w:cs="Arial" w:eastAsia="Arial" w:hAnsi="Arial"/>
          <w:b/>
          <w:bCs/>
          <w:color w:val="0D6E8A"/>
          <w:sz w:val="22"/>
          <w:szCs w:val="22"/>
        </w:rPr>
        <w:t xml:space="preserve">Charter and rental operations — </w:t>
      </w:r>
      <w:r>
        <w:rPr>
          <w:rFonts w:ascii="Arial" w:cs="Arial" w:eastAsia="Arial" w:hAnsi="Arial"/>
          <w:color w:val="2A3C4A"/>
          <w:sz w:val="22"/>
          <w:szCs w:val="22"/>
        </w:rPr>
        <w:t xml:space="preserve">using a boat commercially for any purpose requires commercial marine insurance; personal boat policies exclude business use</w:t>
      </w:r>
    </w:p>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8A6A2E" w:sz="18"/>
              <w:bottom w:val="none" w:color="FFFFFF" w:sz="0"/>
              <w:right w:val="none" w:color="FFFFFF" w:sz="0"/>
            </w:tcBorders>
            <w:shd w:fill="FFF8EC" w:val="clear"/>
            <w:tcMar>
              <w:top w:type="dxa" w:w="110"/>
              <w:left w:type="dxa" w:w="200"/>
              <w:bottom w:type="dxa" w:w="110"/>
              <w:right w:type="dxa" w:w="160"/>
            </w:tcMar>
          </w:tcPr>
          <w:p>
            <w:pPr>
              <w:spacing w:after="60" w:before="0"/>
            </w:pPr>
            <w:r>
              <w:rPr>
                <w:rFonts w:ascii="Arial" w:cs="Arial" w:eastAsia="Arial" w:hAnsi="Arial"/>
                <w:b/>
                <w:bCs/>
                <w:caps/>
                <w:color w:val="8A6A2E"/>
                <w:sz w:val="19"/>
                <w:szCs w:val="19"/>
              </w:rPr>
              <w:t xml:space="preserve">Federal Navigable Waters</w:t>
            </w:r>
          </w:p>
          <w:p>
            <w:pPr>
              <w:spacing w:after="0" w:before="0"/>
            </w:pPr>
            <w:r>
              <w:rPr>
                <w:rFonts w:ascii="Arial" w:cs="Arial" w:eastAsia="Arial" w:hAnsi="Arial"/>
                <w:color w:val="4A3010"/>
                <w:sz w:val="20"/>
                <w:szCs w:val="20"/>
              </w:rPr>
              <w:t xml:space="preserve">Boats operating on federally navigable waterways — which includes most major rivers, lakes, and coastal waters — may be subject to federal maritime law (admiralty law) in addition to state law. Maritime law can significantly affect liability claims and settlements, making adequate liability coverage even more important for boaters on major waterways.</w:t>
            </w:r>
          </w:p>
        </w:tc>
      </w:tr>
    </w:tbl>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0D6E8A" w:sz="18"/>
              <w:bottom w:val="none" w:color="FFFFFF" w:sz="0"/>
              <w:right w:val="none" w:color="FFFFFF" w:sz="0"/>
            </w:tcBorders>
            <w:shd w:fill="E8F5F8" w:val="clear"/>
            <w:tcMar>
              <w:top w:type="dxa" w:w="110"/>
              <w:left w:type="dxa" w:w="200"/>
              <w:bottom w:type="dxa" w:w="110"/>
              <w:right w:type="dxa" w:w="160"/>
            </w:tcMar>
          </w:tcPr>
          <w:p>
            <w:pPr>
              <w:spacing w:after="0" w:before="0"/>
            </w:pPr>
            <w:r>
              <w:rPr>
                <w:rFonts w:ascii="Arial" w:cs="Arial" w:eastAsia="Arial" w:hAnsi="Arial"/>
                <w:b/>
                <w:bCs/>
                <w:color w:val="1A4E6A"/>
                <w:sz w:val="20"/>
                <w:szCs w:val="20"/>
              </w:rPr>
              <w:t xml:space="preserve">Key Takeaway: </w:t>
            </w:r>
            <w:r>
              <w:rPr>
                <w:rFonts w:ascii="Arial" w:cs="Arial" w:eastAsia="Arial" w:hAnsi="Arial"/>
                <w:color w:val="2A3C4A"/>
                <w:sz w:val="20"/>
                <w:szCs w:val="20"/>
              </w:rPr>
              <w:t xml:space="preserve">The absence of a mandatory insurance law does not mean boat insurance is optional. Marina requirements, lender requirements, and the simple financial reality of on-water liability exposure make dedicated boat insurance effectively mandatory for every boat owner who uses a marina, has a loan, or has assets worth protecting.</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0A2E4A" w:val="clear"/>
            <w:tcMar>
              <w:top w:type="dxa" w:w="160"/>
              <w:left w:type="dxa" w:w="240"/>
              <w:bottom w:type="dxa" w:w="160"/>
              <w:right w:type="dxa" w:w="240"/>
            </w:tcMar>
          </w:tcPr>
          <w:p>
            <w:pPr>
              <w:spacing w:after="0" w:before="0"/>
            </w:pPr>
            <w:r>
              <w:rPr>
                <w:rFonts w:ascii="Arial" w:cs="Arial" w:eastAsia="Arial" w:hAnsi="Arial"/>
                <w:b/>
                <w:bCs/>
                <w:color w:val="A8D4E0"/>
                <w:sz w:val="28"/>
                <w:szCs w:val="28"/>
              </w:rPr>
              <w:t xml:space="preserve">4.  </w:t>
            </w:r>
            <w:r>
              <w:rPr>
                <w:rFonts w:ascii="Arial" w:cs="Arial" w:eastAsia="Arial" w:hAnsi="Arial"/>
                <w:b/>
                <w:bCs/>
                <w:color w:val="FFFFFF"/>
                <w:sz w:val="28"/>
                <w:szCs w:val="28"/>
              </w:rPr>
              <w:t xml:space="preserve">Who Needs Dedicated Boat Insurance</w:t>
            </w:r>
          </w:p>
        </w:tc>
      </w:tr>
    </w:tbl>
    <w:p>
      <w:pPr>
        <w:spacing w:after="0" w:before="100"/>
      </w:pPr>
      <w:r>
        <w:rPr>
          <w:rFonts w:ascii="Arial" w:cs="Arial" w:eastAsia="Arial" w:hAnsi="Arial"/>
        </w:rPr>
        <w:t xml:space="preserve"/>
      </w:r>
    </w:p>
    <w:p>
      <w:pPr>
        <w:spacing w:after="110" w:before="80"/>
      </w:pPr>
      <w:r>
        <w:rPr>
          <w:rFonts w:ascii="Arial" w:cs="Arial" w:eastAsia="Arial" w:hAnsi="Arial"/>
          <w:color w:val="0A1A28"/>
          <w:sz w:val="22"/>
          <w:szCs w:val="22"/>
        </w:rPr>
        <w:t xml:space="preserve">The answer to who needs dedicated boat insurance is straightforward: anyone who owns a boat that has meaningful value, is used on public waterways, is stored at a marina, or was purchased with financing. In practical terms, this covers the vast majority of recreational boat owners in the United States.</w:t>
      </w:r>
    </w:p>
    <w:p>
      <w:pPr>
        <w:spacing w:after="0" w:before="100"/>
      </w:pPr>
      <w:r>
        <w:rPr>
          <w:rFonts w:ascii="Arial" w:cs="Arial" w:eastAsia="Arial" w:hAnsi="Arial"/>
        </w:rPr>
        <w:t xml:space="preserve"/>
      </w:r>
    </w:p>
    <w:p>
      <w:pPr>
        <w:pBdr>
          <w:bottom w:val="single" w:color="B0CEDA" w:sz="4" w:space="4"/>
        </w:pBdr>
        <w:spacing w:after="80" w:before="220"/>
      </w:pPr>
      <w:r>
        <w:rPr>
          <w:rFonts w:ascii="Arial" w:cs="Arial" w:eastAsia="Arial" w:hAnsi="Arial"/>
          <w:b/>
          <w:bCs/>
          <w:color w:val="0A2E4A"/>
          <w:sz w:val="24"/>
          <w:szCs w:val="24"/>
        </w:rPr>
        <w:t xml:space="preserve">Who Is Effectively Required to Carry Boat Insurance</w:t>
      </w:r>
    </w:p>
    <w:p>
      <w:pPr>
        <w:spacing w:after="0" w:before="60"/>
      </w:pPr>
      <w:r>
        <w:rPr>
          <w:rFonts w:ascii="Arial" w:cs="Arial" w:eastAsia="Arial" w:hAnsi="Arial"/>
        </w:rPr>
        <w:t xml:space="preserve"/>
      </w:r>
    </w:p>
    <w:p>
      <w:pPr>
        <w:pStyle w:val="ListParagraph"/>
        <w:numPr>
          <w:ilvl w:val="0"/>
          <w:numId w:val="2"/>
        </w:numPr>
        <w:spacing w:after="60" w:before="60"/>
      </w:pPr>
      <w:r>
        <w:rPr>
          <w:rFonts w:ascii="Arial" w:cs="Arial" w:eastAsia="Arial" w:hAnsi="Arial"/>
          <w:b/>
          <w:bCs/>
          <w:color w:val="0D6E8A"/>
          <w:sz w:val="22"/>
          <w:szCs w:val="22"/>
        </w:rPr>
        <w:t xml:space="preserve">Marina and storage facility tenants — </w:t>
      </w:r>
      <w:r>
        <w:rPr>
          <w:rFonts w:ascii="Arial" w:cs="Arial" w:eastAsia="Arial" w:hAnsi="Arial"/>
          <w:color w:val="2A3C4A"/>
          <w:sz w:val="22"/>
          <w:szCs w:val="22"/>
        </w:rPr>
        <w:t xml:space="preserve">virtually all marinas require proof of liability insurance — typically $300,000 or more — as a condition of docking, storage, or slip rental</w:t>
      </w:r>
    </w:p>
    <w:p>
      <w:pPr>
        <w:pStyle w:val="ListParagraph"/>
        <w:numPr>
          <w:ilvl w:val="0"/>
          <w:numId w:val="2"/>
        </w:numPr>
        <w:spacing w:after="60" w:before="60"/>
      </w:pPr>
      <w:r>
        <w:rPr>
          <w:rFonts w:ascii="Arial" w:cs="Arial" w:eastAsia="Arial" w:hAnsi="Arial"/>
          <w:b/>
          <w:bCs/>
          <w:color w:val="0D6E8A"/>
          <w:sz w:val="22"/>
          <w:szCs w:val="22"/>
        </w:rPr>
        <w:t xml:space="preserve">Financed boat purchasers — </w:t>
      </w:r>
      <w:r>
        <w:rPr>
          <w:rFonts w:ascii="Arial" w:cs="Arial" w:eastAsia="Arial" w:hAnsi="Arial"/>
          <w:color w:val="2A3C4A"/>
          <w:sz w:val="22"/>
          <w:szCs w:val="22"/>
        </w:rPr>
        <w:t xml:space="preserve">lenders require comprehensive and collision coverage on any vessel securing a loan; failure to maintain coverage allows the lender to force-place insurance at the borrower’s expense</w:t>
      </w:r>
    </w:p>
    <w:p>
      <w:pPr>
        <w:pStyle w:val="ListParagraph"/>
        <w:numPr>
          <w:ilvl w:val="0"/>
          <w:numId w:val="2"/>
        </w:numPr>
        <w:spacing w:after="60" w:before="60"/>
      </w:pPr>
      <w:r>
        <w:rPr>
          <w:rFonts w:ascii="Arial" w:cs="Arial" w:eastAsia="Arial" w:hAnsi="Arial"/>
          <w:b/>
          <w:bCs/>
          <w:color w:val="0D6E8A"/>
          <w:sz w:val="22"/>
          <w:szCs w:val="22"/>
        </w:rPr>
        <w:t xml:space="preserve">Boat owners in mandatory insurance states — </w:t>
      </w:r>
      <w:r>
        <w:rPr>
          <w:rFonts w:ascii="Arial" w:cs="Arial" w:eastAsia="Arial" w:hAnsi="Arial"/>
          <w:color w:val="2A3C4A"/>
          <w:sz w:val="22"/>
          <w:szCs w:val="22"/>
        </w:rPr>
        <w:t xml:space="preserve">owners in Arkansas, Utah, Hawaii, Oklahoma, Rhode Island, and other states with mandatory requirements must carry insurance to legally register and operate their vessels</w:t>
      </w:r>
    </w:p>
    <w:p>
      <w:pPr>
        <w:pStyle w:val="ListParagraph"/>
        <w:numPr>
          <w:ilvl w:val="0"/>
          <w:numId w:val="2"/>
        </w:numPr>
        <w:spacing w:after="60" w:before="60"/>
      </w:pPr>
      <w:r>
        <w:rPr>
          <w:rFonts w:ascii="Arial" w:cs="Arial" w:eastAsia="Arial" w:hAnsi="Arial"/>
          <w:b/>
          <w:bCs/>
          <w:color w:val="0D6E8A"/>
          <w:sz w:val="22"/>
          <w:szCs w:val="22"/>
        </w:rPr>
        <w:t xml:space="preserve">Tournament and event participants — </w:t>
      </w:r>
      <w:r>
        <w:rPr>
          <w:rFonts w:ascii="Arial" w:cs="Arial" w:eastAsia="Arial" w:hAnsi="Arial"/>
          <w:color w:val="2A3C4A"/>
          <w:sz w:val="22"/>
          <w:szCs w:val="22"/>
        </w:rPr>
        <w:t xml:space="preserve">organized boating events typically require proof of insurance to enter</w:t>
      </w:r>
    </w:p>
    <w:p>
      <w:pPr>
        <w:spacing w:after="0" w:before="100"/>
      </w:pPr>
      <w:r>
        <w:rPr>
          <w:rFonts w:ascii="Arial" w:cs="Arial" w:eastAsia="Arial" w:hAnsi="Arial"/>
        </w:rPr>
        <w:t xml:space="preserve"/>
      </w:r>
    </w:p>
    <w:p>
      <w:pPr>
        <w:pBdr>
          <w:bottom w:val="single" w:color="B0CEDA" w:sz="4" w:space="4"/>
        </w:pBdr>
        <w:spacing w:after="80" w:before="220"/>
      </w:pPr>
      <w:r>
        <w:rPr>
          <w:rFonts w:ascii="Arial" w:cs="Arial" w:eastAsia="Arial" w:hAnsi="Arial"/>
          <w:b/>
          <w:bCs/>
          <w:color w:val="0A2E4A"/>
          <w:sz w:val="24"/>
          <w:szCs w:val="24"/>
        </w:rPr>
        <w:t xml:space="preserve">Who Should Strongly Consider Boat Insurance Even If Not Required</w:t>
      </w:r>
    </w:p>
    <w:p>
      <w:pPr>
        <w:spacing w:after="0" w:before="60"/>
      </w:pPr>
      <w:r>
        <w:rPr>
          <w:rFonts w:ascii="Arial" w:cs="Arial" w:eastAsia="Arial" w:hAnsi="Arial"/>
        </w:rPr>
        <w:t xml:space="preserve"/>
      </w:r>
    </w:p>
    <w:p>
      <w:pPr>
        <w:pStyle w:val="ListParagraph"/>
        <w:numPr>
          <w:ilvl w:val="0"/>
          <w:numId w:val="2"/>
        </w:numPr>
        <w:spacing w:after="60" w:before="60"/>
      </w:pPr>
      <w:r>
        <w:rPr>
          <w:rFonts w:ascii="Arial" w:cs="Arial" w:eastAsia="Arial" w:hAnsi="Arial"/>
          <w:b/>
          <w:bCs/>
          <w:color w:val="0D6E8A"/>
          <w:sz w:val="22"/>
          <w:szCs w:val="22"/>
        </w:rPr>
        <w:t xml:space="preserve">Owners of any boat worth over $1,500 — </w:t>
      </w:r>
      <w:r>
        <w:rPr>
          <w:rFonts w:ascii="Arial" w:cs="Arial" w:eastAsia="Arial" w:hAnsi="Arial"/>
          <w:color w:val="2A3C4A"/>
          <w:sz w:val="22"/>
          <w:szCs w:val="22"/>
        </w:rPr>
        <w:t xml:space="preserve">the homeowners sublimit provides virtually no meaningful protection; any boat of modest value needs a dedicated policy</w:t>
      </w:r>
    </w:p>
    <w:p>
      <w:pPr>
        <w:pStyle w:val="ListParagraph"/>
        <w:numPr>
          <w:ilvl w:val="0"/>
          <w:numId w:val="2"/>
        </w:numPr>
        <w:spacing w:after="60" w:before="60"/>
      </w:pPr>
      <w:r>
        <w:rPr>
          <w:rFonts w:ascii="Arial" w:cs="Arial" w:eastAsia="Arial" w:hAnsi="Arial"/>
          <w:b/>
          <w:bCs/>
          <w:color w:val="0D6E8A"/>
          <w:sz w:val="22"/>
          <w:szCs w:val="22"/>
        </w:rPr>
        <w:t xml:space="preserve">Motorboat operators — </w:t>
      </w:r>
      <w:r>
        <w:rPr>
          <w:rFonts w:ascii="Arial" w:cs="Arial" w:eastAsia="Arial" w:hAnsi="Arial"/>
          <w:color w:val="2A3C4A"/>
          <w:sz w:val="22"/>
          <w:szCs w:val="22"/>
        </w:rPr>
        <w:t xml:space="preserve">motorized boats create far greater liability exposure than paddle-powered vessels; a collision at speed can cause catastrophic injuries and property damage</w:t>
      </w:r>
    </w:p>
    <w:p>
      <w:pPr>
        <w:pStyle w:val="ListParagraph"/>
        <w:numPr>
          <w:ilvl w:val="0"/>
          <w:numId w:val="2"/>
        </w:numPr>
        <w:spacing w:after="60" w:before="60"/>
      </w:pPr>
      <w:r>
        <w:rPr>
          <w:rFonts w:ascii="Arial" w:cs="Arial" w:eastAsia="Arial" w:hAnsi="Arial"/>
          <w:b/>
          <w:bCs/>
          <w:color w:val="0D6E8A"/>
          <w:sz w:val="22"/>
          <w:szCs w:val="22"/>
        </w:rPr>
        <w:t xml:space="preserve">Sailboat owners — </w:t>
      </w:r>
      <w:r>
        <w:rPr>
          <w:rFonts w:ascii="Arial" w:cs="Arial" w:eastAsia="Arial" w:hAnsi="Arial"/>
          <w:color w:val="2A3C4A"/>
          <w:sz w:val="22"/>
          <w:szCs w:val="22"/>
        </w:rPr>
        <w:t xml:space="preserve">while sailboats may seem lower risk, their hull values are often substantial, and mast failures, collisions, and sinkings are real risks</w:t>
      </w:r>
    </w:p>
    <w:p>
      <w:pPr>
        <w:pStyle w:val="ListParagraph"/>
        <w:numPr>
          <w:ilvl w:val="0"/>
          <w:numId w:val="2"/>
        </w:numPr>
        <w:spacing w:after="60" w:before="60"/>
      </w:pPr>
      <w:r>
        <w:rPr>
          <w:rFonts w:ascii="Arial" w:cs="Arial" w:eastAsia="Arial" w:hAnsi="Arial"/>
          <w:b/>
          <w:bCs/>
          <w:color w:val="0D6E8A"/>
          <w:sz w:val="22"/>
          <w:szCs w:val="22"/>
        </w:rPr>
        <w:t xml:space="preserve">Personal watercraft (PWC) owners — </w:t>
      </w:r>
      <w:r>
        <w:rPr>
          <w:rFonts w:ascii="Arial" w:cs="Arial" w:eastAsia="Arial" w:hAnsi="Arial"/>
          <w:color w:val="2A3C4A"/>
          <w:sz w:val="22"/>
          <w:szCs w:val="22"/>
        </w:rPr>
        <w:t xml:space="preserve">jet skis and wave runners are among the highest-risk watercraft; their speed, maneuverability, and collision risk require dedicated PWC insurance</w:t>
      </w:r>
    </w:p>
    <w:p>
      <w:pPr>
        <w:pStyle w:val="ListParagraph"/>
        <w:numPr>
          <w:ilvl w:val="0"/>
          <w:numId w:val="2"/>
        </w:numPr>
        <w:spacing w:after="60" w:before="60"/>
      </w:pPr>
      <w:r>
        <w:rPr>
          <w:rFonts w:ascii="Arial" w:cs="Arial" w:eastAsia="Arial" w:hAnsi="Arial"/>
          <w:b/>
          <w:bCs/>
          <w:color w:val="0D6E8A"/>
          <w:sz w:val="22"/>
          <w:szCs w:val="22"/>
        </w:rPr>
        <w:t xml:space="preserve">Pontoon and fishing boat owners — </w:t>
      </w:r>
      <w:r>
        <w:rPr>
          <w:rFonts w:ascii="Arial" w:cs="Arial" w:eastAsia="Arial" w:hAnsi="Arial"/>
          <w:color w:val="2A3C4A"/>
          <w:sz w:val="22"/>
          <w:szCs w:val="22"/>
        </w:rPr>
        <w:t xml:space="preserve">popular recreational boats with values ranging from $10,000 to $80,000+ that are routinely left at marinas, ramps, and docks</w:t>
      </w:r>
    </w:p>
    <w:p>
      <w:pPr>
        <w:pStyle w:val="ListParagraph"/>
        <w:numPr>
          <w:ilvl w:val="0"/>
          <w:numId w:val="2"/>
        </w:numPr>
        <w:spacing w:after="60" w:before="60"/>
      </w:pPr>
      <w:r>
        <w:rPr>
          <w:rFonts w:ascii="Arial" w:cs="Arial" w:eastAsia="Arial" w:hAnsi="Arial"/>
          <w:b/>
          <w:bCs/>
          <w:color w:val="0D6E8A"/>
          <w:sz w:val="22"/>
          <w:szCs w:val="22"/>
        </w:rPr>
        <w:t xml:space="preserve">Liveaboard boat owners — </w:t>
      </w:r>
      <w:r>
        <w:rPr>
          <w:rFonts w:ascii="Arial" w:cs="Arial" w:eastAsia="Arial" w:hAnsi="Arial"/>
          <w:color w:val="2A3C4A"/>
          <w:sz w:val="22"/>
          <w:szCs w:val="22"/>
        </w:rPr>
        <w:t xml:space="preserve">people who live aboard their vessel need coverage that functions like both auto and homeowners insurance — only a dedicated marine policy provides this</w:t>
      </w:r>
    </w:p>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1A6A5C" w:sz="18"/>
              <w:bottom w:val="none" w:color="FFFFFF" w:sz="0"/>
              <w:right w:val="none" w:color="FFFFFF" w:sz="0"/>
            </w:tcBorders>
            <w:shd w:fill="EAF5F2" w:val="clear"/>
            <w:tcMar>
              <w:top w:type="dxa" w:w="110"/>
              <w:left w:type="dxa" w:w="200"/>
              <w:bottom w:type="dxa" w:w="110"/>
              <w:right w:type="dxa" w:w="160"/>
            </w:tcMar>
          </w:tcPr>
          <w:p>
            <w:pPr>
              <w:spacing w:after="60" w:before="0"/>
            </w:pPr>
            <w:r>
              <w:rPr>
                <w:rFonts w:ascii="Arial" w:cs="Arial" w:eastAsia="Arial" w:hAnsi="Arial"/>
                <w:b/>
                <w:bCs/>
                <w:caps/>
                <w:color w:val="1A6A5C"/>
                <w:sz w:val="19"/>
                <w:szCs w:val="19"/>
              </w:rPr>
              <w:t xml:space="preserve">The Uninsured Boater Scenario</w:t>
            </w:r>
          </w:p>
          <w:p>
            <w:pPr>
              <w:spacing w:after="0" w:before="0"/>
            </w:pPr>
            <w:r>
              <w:rPr>
                <w:rFonts w:ascii="Arial" w:cs="Arial" w:eastAsia="Arial" w:hAnsi="Arial"/>
                <w:color w:val="0A2820"/>
                <w:sz w:val="20"/>
                <w:szCs w:val="20"/>
              </w:rPr>
              <w:t xml:space="preserve">A boat owner without insurance collides with another vessel, injuring two people and sinking the other boat. Medical bills: $75,000. Boat replacement: $45,000. Legal defense: $30,000. Total exposure: $150,000. Without boat insurance, every dollar comes from the owner’s personal assets. The uninsured boat owner also faces potential environmental liability if fuel spills from either vessel.</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0A2E4A" w:val="clear"/>
            <w:tcMar>
              <w:top w:type="dxa" w:w="160"/>
              <w:left w:type="dxa" w:w="240"/>
              <w:bottom w:type="dxa" w:w="160"/>
              <w:right w:type="dxa" w:w="240"/>
            </w:tcMar>
          </w:tcPr>
          <w:p>
            <w:pPr>
              <w:spacing w:after="0" w:before="0"/>
            </w:pPr>
            <w:r>
              <w:rPr>
                <w:rFonts w:ascii="Arial" w:cs="Arial" w:eastAsia="Arial" w:hAnsi="Arial"/>
                <w:b/>
                <w:bCs/>
                <w:color w:val="A8D4E0"/>
                <w:sz w:val="28"/>
                <w:szCs w:val="28"/>
              </w:rPr>
              <w:t xml:space="preserve">5.  </w:t>
            </w:r>
            <w:r>
              <w:rPr>
                <w:rFonts w:ascii="Arial" w:cs="Arial" w:eastAsia="Arial" w:hAnsi="Arial"/>
                <w:b/>
                <w:bCs/>
                <w:color w:val="FFFFFF"/>
                <w:sz w:val="28"/>
                <w:szCs w:val="28"/>
              </w:rPr>
              <w:t xml:space="preserve">Difference Between Boat and Yacht Insurance</w:t>
            </w:r>
          </w:p>
        </w:tc>
      </w:tr>
    </w:tbl>
    <w:p>
      <w:pPr>
        <w:spacing w:after="0" w:before="100"/>
      </w:pPr>
      <w:r>
        <w:rPr>
          <w:rFonts w:ascii="Arial" w:cs="Arial" w:eastAsia="Arial" w:hAnsi="Arial"/>
        </w:rPr>
        <w:t xml:space="preserve"/>
      </w:r>
    </w:p>
    <w:p>
      <w:pPr>
        <w:spacing w:after="110" w:before="80"/>
      </w:pPr>
      <w:r>
        <w:rPr>
          <w:rFonts w:ascii="Arial" w:cs="Arial" w:eastAsia="Arial" w:hAnsi="Arial"/>
          <w:color w:val="0A1A28"/>
          <w:sz w:val="22"/>
          <w:szCs w:val="22"/>
        </w:rPr>
        <w:t xml:space="preserve">The terms “boat insurance” and “yacht insurance” are often used loosely in conversation, but in the insurance industry they represent distinct product tiers with meaningfully different coverage terms, valuation approaches, liability limits, and underwriting standards. Understanding where the line falls — and which product is appropriate for your vessel — is important to ensuring you have the right coverage.</w:t>
      </w:r>
    </w:p>
    <w:p>
      <w:pPr>
        <w:spacing w:after="0" w:before="100"/>
      </w:pPr>
      <w:r>
        <w:rPr>
          <w:rFonts w:ascii="Arial" w:cs="Arial" w:eastAsia="Arial" w:hAnsi="Arial"/>
        </w:rPr>
        <w:t xml:space="preserve"/>
      </w:r>
    </w:p>
    <w:p>
      <w:pPr>
        <w:pBdr>
          <w:bottom w:val="single" w:color="B0CEDA" w:sz="4" w:space="4"/>
        </w:pBdr>
        <w:spacing w:after="80" w:before="220"/>
      </w:pPr>
      <w:r>
        <w:rPr>
          <w:rFonts w:ascii="Arial" w:cs="Arial" w:eastAsia="Arial" w:hAnsi="Arial"/>
          <w:b/>
          <w:bCs/>
          <w:color w:val="0A2E4A"/>
          <w:sz w:val="24"/>
          <w:szCs w:val="24"/>
        </w:rPr>
        <w:t xml:space="preserve">How the Industry Draws the Line</w:t>
      </w:r>
    </w:p>
    <w:p>
      <w:pPr>
        <w:spacing w:after="110" w:before="80"/>
      </w:pPr>
      <w:r>
        <w:rPr>
          <w:rFonts w:ascii="Arial" w:cs="Arial" w:eastAsia="Arial" w:hAnsi="Arial"/>
          <w:color w:val="0A1A28"/>
          <w:sz w:val="22"/>
          <w:szCs w:val="22"/>
        </w:rPr>
        <w:t xml:space="preserve">There is no universal legal definition of “yacht” vs. “boat,” but the insurance industry generally uses vessel length and value as the primary dividing criteria. Most insurers treat vessels over 26–28 feet in length and/or over $100,000 in value as yachts requiring specialized yacht insurance, though the precise threshold varies by carrier.</w:t>
      </w:r>
    </w:p>
    <w:p>
      <w:pPr>
        <w:spacing w:after="0" w:before="10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900"/>
        <w:gridCol w:w="3130"/>
        <w:gridCol w:w="3330"/>
      </w:tblGrid>
      <w:tr>
        <w:tc>
          <w:tcPr>
            <w:tcW w:type="dxa" w:w="2900"/>
            <w:tcBorders>
              <w:top w:val="none" w:color="FFFFFF" w:sz="0"/>
              <w:left w:val="none" w:color="FFFFFF" w:sz="0"/>
              <w:bottom w:val="none" w:color="FFFFFF" w:sz="0"/>
              <w:right w:val="none" w:color="FFFFFF" w:sz="0"/>
            </w:tcBorders>
            <w:shd w:fill="2A3A48"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Feature</w:t>
            </w:r>
          </w:p>
        </w:tc>
        <w:tc>
          <w:tcPr>
            <w:tcW w:type="dxa" w:w="3130"/>
            <w:tcBorders>
              <w:top w:val="none" w:color="FFFFFF" w:sz="0"/>
              <w:left w:val="none" w:color="FFFFFF" w:sz="0"/>
              <w:bottom w:val="none" w:color="FFFFFF" w:sz="0"/>
              <w:right w:val="none" w:color="FFFFFF" w:sz="0"/>
            </w:tcBorders>
            <w:shd w:fill="1A4E6A"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Boat Insurance</w:t>
            </w:r>
          </w:p>
        </w:tc>
        <w:tc>
          <w:tcPr>
            <w:tcW w:type="dxa" w:w="3330"/>
            <w:tcBorders>
              <w:top w:val="none" w:color="FFFFFF" w:sz="0"/>
              <w:left w:val="none" w:color="FFFFFF" w:sz="0"/>
              <w:bottom w:val="none" w:color="FFFFFF" w:sz="0"/>
              <w:right w:val="none" w:color="FFFFFF" w:sz="0"/>
            </w:tcBorders>
            <w:shd w:fill="1A4E6A"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Yacht Insurance</w:t>
            </w:r>
          </w:p>
        </w:tc>
      </w:tr>
      <w:tr>
        <w:tc>
          <w:tcPr>
            <w:tcW w:type="dxa" w:w="2900"/>
            <w:tcBorders>
              <w:top w:val="single" w:color="A8C0D0" w:sz="1"/>
              <w:left w:val="single" w:color="A8C0D0" w:sz="1"/>
              <w:bottom w:val="single" w:color="A8C0D0" w:sz="1"/>
              <w:right w:val="single" w:color="A8C0D0" w:sz="1"/>
            </w:tcBorders>
            <w:shd w:fill="FFFFFF" w:val="clear"/>
            <w:tcMar>
              <w:top w:type="dxa" w:w="80"/>
              <w:left w:type="dxa" w:w="160"/>
              <w:bottom w:type="dxa" w:w="80"/>
              <w:right w:type="dxa" w:w="160"/>
            </w:tcMar>
          </w:tcPr>
          <w:p>
            <w:pPr>
              <w:spacing w:after="0" w:before="0"/>
            </w:pPr>
            <w:r>
              <w:rPr>
                <w:rFonts w:ascii="Arial" w:cs="Arial" w:eastAsia="Arial" w:hAnsi="Arial"/>
                <w:b/>
                <w:bCs/>
                <w:color w:val="0A1A28"/>
                <w:sz w:val="20"/>
                <w:szCs w:val="20"/>
              </w:rPr>
              <w:t xml:space="preserve">Vessel size</w:t>
            </w:r>
          </w:p>
        </w:tc>
        <w:tc>
          <w:tcPr>
            <w:tcW w:type="dxa" w:w="3130"/>
            <w:tcBorders>
              <w:top w:val="single" w:color="A8C0D0" w:sz="1"/>
              <w:left w:val="single" w:color="A8C0D0" w:sz="1"/>
              <w:bottom w:val="single" w:color="A8C0D0" w:sz="1"/>
              <w:right w:val="single" w:color="A8C0D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A3C4A"/>
                <w:sz w:val="20"/>
                <w:szCs w:val="20"/>
              </w:rPr>
              <w:t xml:space="preserve">Typically under 26–28 feet</w:t>
            </w:r>
          </w:p>
        </w:tc>
        <w:tc>
          <w:tcPr>
            <w:tcW w:type="dxa" w:w="3330"/>
            <w:tcBorders>
              <w:top w:val="single" w:color="A8C0D0" w:sz="1"/>
              <w:left w:val="single" w:color="A8C0D0" w:sz="1"/>
              <w:bottom w:val="single" w:color="A8C0D0" w:sz="1"/>
              <w:right w:val="single" w:color="A8C0D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A3C4A"/>
                <w:sz w:val="20"/>
                <w:szCs w:val="20"/>
              </w:rPr>
              <w:t xml:space="preserve">26+ feet; often 30–40+ feet</w:t>
            </w:r>
          </w:p>
        </w:tc>
      </w:tr>
      <w:tr>
        <w:tc>
          <w:tcPr>
            <w:tcW w:type="dxa" w:w="2900"/>
            <w:tcBorders>
              <w:top w:val="single" w:color="A8C0D0" w:sz="1"/>
              <w:left w:val="single" w:color="A8C0D0" w:sz="1"/>
              <w:bottom w:val="single" w:color="A8C0D0" w:sz="1"/>
              <w:right w:val="single" w:color="A8C0D0" w:sz="1"/>
            </w:tcBorders>
            <w:shd w:fill="EBF4F8" w:val="clear"/>
            <w:tcMar>
              <w:top w:type="dxa" w:w="80"/>
              <w:left w:type="dxa" w:w="160"/>
              <w:bottom w:type="dxa" w:w="80"/>
              <w:right w:type="dxa" w:w="160"/>
            </w:tcMar>
          </w:tcPr>
          <w:p>
            <w:pPr>
              <w:spacing w:after="0" w:before="0"/>
            </w:pPr>
            <w:r>
              <w:rPr>
                <w:rFonts w:ascii="Arial" w:cs="Arial" w:eastAsia="Arial" w:hAnsi="Arial"/>
                <w:b/>
                <w:bCs/>
                <w:color w:val="0A1A28"/>
                <w:sz w:val="20"/>
                <w:szCs w:val="20"/>
              </w:rPr>
              <w:t xml:space="preserve">Vessel value</w:t>
            </w:r>
          </w:p>
        </w:tc>
        <w:tc>
          <w:tcPr>
            <w:tcW w:type="dxa" w:w="3130"/>
            <w:tcBorders>
              <w:top w:val="single" w:color="A8C0D0" w:sz="1"/>
              <w:left w:val="single" w:color="A8C0D0" w:sz="1"/>
              <w:bottom w:val="single" w:color="A8C0D0" w:sz="1"/>
              <w:right w:val="single" w:color="A8C0D0" w:sz="1"/>
            </w:tcBorders>
            <w:shd w:fill="EBF4F8" w:val="clear"/>
            <w:tcMar>
              <w:top w:type="dxa" w:w="80"/>
              <w:left w:type="dxa" w:w="160"/>
              <w:bottom w:type="dxa" w:w="80"/>
              <w:right w:type="dxa" w:w="160"/>
            </w:tcMar>
          </w:tcPr>
          <w:p>
            <w:pPr>
              <w:spacing w:after="0" w:before="0"/>
            </w:pPr>
            <w:r>
              <w:rPr>
                <w:rFonts w:ascii="Arial" w:cs="Arial" w:eastAsia="Arial" w:hAnsi="Arial"/>
                <w:b w:val="false"/>
                <w:bCs w:val="false"/>
                <w:color w:val="2A3C4A"/>
                <w:sz w:val="20"/>
                <w:szCs w:val="20"/>
              </w:rPr>
              <w:t xml:space="preserve">Generally under $100,000</w:t>
            </w:r>
          </w:p>
        </w:tc>
        <w:tc>
          <w:tcPr>
            <w:tcW w:type="dxa" w:w="3330"/>
            <w:tcBorders>
              <w:top w:val="single" w:color="A8C0D0" w:sz="1"/>
              <w:left w:val="single" w:color="A8C0D0" w:sz="1"/>
              <w:bottom w:val="single" w:color="A8C0D0" w:sz="1"/>
              <w:right w:val="single" w:color="A8C0D0" w:sz="1"/>
            </w:tcBorders>
            <w:shd w:fill="EBF4F8" w:val="clear"/>
            <w:tcMar>
              <w:top w:type="dxa" w:w="80"/>
              <w:left w:type="dxa" w:w="160"/>
              <w:bottom w:type="dxa" w:w="80"/>
              <w:right w:type="dxa" w:w="160"/>
            </w:tcMar>
          </w:tcPr>
          <w:p>
            <w:pPr>
              <w:spacing w:after="0" w:before="0"/>
            </w:pPr>
            <w:r>
              <w:rPr>
                <w:rFonts w:ascii="Arial" w:cs="Arial" w:eastAsia="Arial" w:hAnsi="Arial"/>
                <w:b w:val="false"/>
                <w:bCs w:val="false"/>
                <w:color w:val="2A3C4A"/>
                <w:sz w:val="20"/>
                <w:szCs w:val="20"/>
              </w:rPr>
              <w:t xml:space="preserve">Typically $100,000 to $5 million+</w:t>
            </w:r>
          </w:p>
        </w:tc>
      </w:tr>
      <w:tr>
        <w:tc>
          <w:tcPr>
            <w:tcW w:type="dxa" w:w="2900"/>
            <w:tcBorders>
              <w:top w:val="single" w:color="A8C0D0" w:sz="1"/>
              <w:left w:val="single" w:color="A8C0D0" w:sz="1"/>
              <w:bottom w:val="single" w:color="A8C0D0" w:sz="1"/>
              <w:right w:val="single" w:color="A8C0D0" w:sz="1"/>
            </w:tcBorders>
            <w:shd w:fill="FFFFFF" w:val="clear"/>
            <w:tcMar>
              <w:top w:type="dxa" w:w="80"/>
              <w:left w:type="dxa" w:w="160"/>
              <w:bottom w:type="dxa" w:w="80"/>
              <w:right w:type="dxa" w:w="160"/>
            </w:tcMar>
          </w:tcPr>
          <w:p>
            <w:pPr>
              <w:spacing w:after="0" w:before="0"/>
            </w:pPr>
            <w:r>
              <w:rPr>
                <w:rFonts w:ascii="Arial" w:cs="Arial" w:eastAsia="Arial" w:hAnsi="Arial"/>
                <w:b/>
                <w:bCs/>
                <w:color w:val="0A1A28"/>
                <w:sz w:val="20"/>
                <w:szCs w:val="20"/>
              </w:rPr>
              <w:t xml:space="preserve">Valuation basis</w:t>
            </w:r>
          </w:p>
        </w:tc>
        <w:tc>
          <w:tcPr>
            <w:tcW w:type="dxa" w:w="3130"/>
            <w:tcBorders>
              <w:top w:val="single" w:color="A8C0D0" w:sz="1"/>
              <w:left w:val="single" w:color="A8C0D0" w:sz="1"/>
              <w:bottom w:val="single" w:color="A8C0D0" w:sz="1"/>
              <w:right w:val="single" w:color="A8C0D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A3C4A"/>
                <w:sz w:val="20"/>
                <w:szCs w:val="20"/>
              </w:rPr>
              <w:t xml:space="preserve">ACV or agreed value options</w:t>
            </w:r>
          </w:p>
        </w:tc>
        <w:tc>
          <w:tcPr>
            <w:tcW w:type="dxa" w:w="3330"/>
            <w:tcBorders>
              <w:top w:val="single" w:color="A8C0D0" w:sz="1"/>
              <w:left w:val="single" w:color="A8C0D0" w:sz="1"/>
              <w:bottom w:val="single" w:color="A8C0D0" w:sz="1"/>
              <w:right w:val="single" w:color="A8C0D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A3C4A"/>
                <w:sz w:val="20"/>
                <w:szCs w:val="20"/>
              </w:rPr>
              <w:t xml:space="preserve">Agreed value standard</w:t>
            </w:r>
          </w:p>
        </w:tc>
      </w:tr>
      <w:tr>
        <w:tc>
          <w:tcPr>
            <w:tcW w:type="dxa" w:w="2900"/>
            <w:tcBorders>
              <w:top w:val="single" w:color="A8C0D0" w:sz="1"/>
              <w:left w:val="single" w:color="A8C0D0" w:sz="1"/>
              <w:bottom w:val="single" w:color="A8C0D0" w:sz="1"/>
              <w:right w:val="single" w:color="A8C0D0" w:sz="1"/>
            </w:tcBorders>
            <w:shd w:fill="EBF4F8" w:val="clear"/>
            <w:tcMar>
              <w:top w:type="dxa" w:w="80"/>
              <w:left w:type="dxa" w:w="160"/>
              <w:bottom w:type="dxa" w:w="80"/>
              <w:right w:type="dxa" w:w="160"/>
            </w:tcMar>
          </w:tcPr>
          <w:p>
            <w:pPr>
              <w:spacing w:after="0" w:before="0"/>
            </w:pPr>
            <w:r>
              <w:rPr>
                <w:rFonts w:ascii="Arial" w:cs="Arial" w:eastAsia="Arial" w:hAnsi="Arial"/>
                <w:b/>
                <w:bCs/>
                <w:color w:val="0A1A28"/>
                <w:sz w:val="20"/>
                <w:szCs w:val="20"/>
              </w:rPr>
              <w:t xml:space="preserve">Liability limits</w:t>
            </w:r>
          </w:p>
        </w:tc>
        <w:tc>
          <w:tcPr>
            <w:tcW w:type="dxa" w:w="3130"/>
            <w:tcBorders>
              <w:top w:val="single" w:color="A8C0D0" w:sz="1"/>
              <w:left w:val="single" w:color="A8C0D0" w:sz="1"/>
              <w:bottom w:val="single" w:color="A8C0D0" w:sz="1"/>
              <w:right w:val="single" w:color="A8C0D0" w:sz="1"/>
            </w:tcBorders>
            <w:shd w:fill="EBF4F8" w:val="clear"/>
            <w:tcMar>
              <w:top w:type="dxa" w:w="80"/>
              <w:left w:type="dxa" w:w="160"/>
              <w:bottom w:type="dxa" w:w="80"/>
              <w:right w:type="dxa" w:w="160"/>
            </w:tcMar>
          </w:tcPr>
          <w:p>
            <w:pPr>
              <w:spacing w:after="0" w:before="0"/>
            </w:pPr>
            <w:r>
              <w:rPr>
                <w:rFonts w:ascii="Arial" w:cs="Arial" w:eastAsia="Arial" w:hAnsi="Arial"/>
                <w:b w:val="false"/>
                <w:bCs w:val="false"/>
                <w:color w:val="2A3C4A"/>
                <w:sz w:val="20"/>
                <w:szCs w:val="20"/>
              </w:rPr>
              <w:t xml:space="preserve">$100K–$500K typical</w:t>
            </w:r>
          </w:p>
        </w:tc>
        <w:tc>
          <w:tcPr>
            <w:tcW w:type="dxa" w:w="3330"/>
            <w:tcBorders>
              <w:top w:val="single" w:color="A8C0D0" w:sz="1"/>
              <w:left w:val="single" w:color="A8C0D0" w:sz="1"/>
              <w:bottom w:val="single" w:color="A8C0D0" w:sz="1"/>
              <w:right w:val="single" w:color="A8C0D0" w:sz="1"/>
            </w:tcBorders>
            <w:shd w:fill="EBF4F8" w:val="clear"/>
            <w:tcMar>
              <w:top w:type="dxa" w:w="80"/>
              <w:left w:type="dxa" w:w="160"/>
              <w:bottom w:type="dxa" w:w="80"/>
              <w:right w:type="dxa" w:w="160"/>
            </w:tcMar>
          </w:tcPr>
          <w:p>
            <w:pPr>
              <w:spacing w:after="0" w:before="0"/>
            </w:pPr>
            <w:r>
              <w:rPr>
                <w:rFonts w:ascii="Arial" w:cs="Arial" w:eastAsia="Arial" w:hAnsi="Arial"/>
                <w:b w:val="false"/>
                <w:bCs w:val="false"/>
                <w:color w:val="2A3C4A"/>
                <w:sz w:val="20"/>
                <w:szCs w:val="20"/>
              </w:rPr>
              <w:t xml:space="preserve">$300K–$2M+ typical</w:t>
            </w:r>
          </w:p>
        </w:tc>
      </w:tr>
      <w:tr>
        <w:tc>
          <w:tcPr>
            <w:tcW w:type="dxa" w:w="2900"/>
            <w:tcBorders>
              <w:top w:val="single" w:color="A8C0D0" w:sz="1"/>
              <w:left w:val="single" w:color="A8C0D0" w:sz="1"/>
              <w:bottom w:val="single" w:color="A8C0D0" w:sz="1"/>
              <w:right w:val="single" w:color="A8C0D0" w:sz="1"/>
            </w:tcBorders>
            <w:shd w:fill="FFFFFF" w:val="clear"/>
            <w:tcMar>
              <w:top w:type="dxa" w:w="80"/>
              <w:left w:type="dxa" w:w="160"/>
              <w:bottom w:type="dxa" w:w="80"/>
              <w:right w:type="dxa" w:w="160"/>
            </w:tcMar>
          </w:tcPr>
          <w:p>
            <w:pPr>
              <w:spacing w:after="0" w:before="0"/>
            </w:pPr>
            <w:r>
              <w:rPr>
                <w:rFonts w:ascii="Arial" w:cs="Arial" w:eastAsia="Arial" w:hAnsi="Arial"/>
                <w:b/>
                <w:bCs/>
                <w:color w:val="0A1A28"/>
                <w:sz w:val="20"/>
                <w:szCs w:val="20"/>
              </w:rPr>
              <w:t xml:space="preserve">Coverage territory</w:t>
            </w:r>
          </w:p>
        </w:tc>
        <w:tc>
          <w:tcPr>
            <w:tcW w:type="dxa" w:w="3130"/>
            <w:tcBorders>
              <w:top w:val="single" w:color="A8C0D0" w:sz="1"/>
              <w:left w:val="single" w:color="A8C0D0" w:sz="1"/>
              <w:bottom w:val="single" w:color="A8C0D0" w:sz="1"/>
              <w:right w:val="single" w:color="A8C0D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A3C4A"/>
                <w:sz w:val="20"/>
                <w:szCs w:val="20"/>
              </w:rPr>
              <w:t xml:space="preserve">U.S. inland and coastal waters</w:t>
            </w:r>
          </w:p>
        </w:tc>
        <w:tc>
          <w:tcPr>
            <w:tcW w:type="dxa" w:w="3330"/>
            <w:tcBorders>
              <w:top w:val="single" w:color="A8C0D0" w:sz="1"/>
              <w:left w:val="single" w:color="A8C0D0" w:sz="1"/>
              <w:bottom w:val="single" w:color="A8C0D0" w:sz="1"/>
              <w:right w:val="single" w:color="A8C0D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A3C4A"/>
                <w:sz w:val="20"/>
                <w:szCs w:val="20"/>
              </w:rPr>
              <w:t xml:space="preserve">Extended to offshore and international</w:t>
            </w:r>
          </w:p>
        </w:tc>
      </w:tr>
      <w:tr>
        <w:tc>
          <w:tcPr>
            <w:tcW w:type="dxa" w:w="2900"/>
            <w:tcBorders>
              <w:top w:val="single" w:color="A8C0D0" w:sz="1"/>
              <w:left w:val="single" w:color="A8C0D0" w:sz="1"/>
              <w:bottom w:val="single" w:color="A8C0D0" w:sz="1"/>
              <w:right w:val="single" w:color="A8C0D0" w:sz="1"/>
            </w:tcBorders>
            <w:shd w:fill="EBF4F8" w:val="clear"/>
            <w:tcMar>
              <w:top w:type="dxa" w:w="80"/>
              <w:left w:type="dxa" w:w="160"/>
              <w:bottom w:type="dxa" w:w="80"/>
              <w:right w:type="dxa" w:w="160"/>
            </w:tcMar>
          </w:tcPr>
          <w:p>
            <w:pPr>
              <w:spacing w:after="0" w:before="0"/>
            </w:pPr>
            <w:r>
              <w:rPr>
                <w:rFonts w:ascii="Arial" w:cs="Arial" w:eastAsia="Arial" w:hAnsi="Arial"/>
                <w:b/>
                <w:bCs/>
                <w:color w:val="0A1A28"/>
                <w:sz w:val="20"/>
                <w:szCs w:val="20"/>
              </w:rPr>
              <w:t xml:space="preserve">Medical payments</w:t>
            </w:r>
          </w:p>
        </w:tc>
        <w:tc>
          <w:tcPr>
            <w:tcW w:type="dxa" w:w="3130"/>
            <w:tcBorders>
              <w:top w:val="single" w:color="A8C0D0" w:sz="1"/>
              <w:left w:val="single" w:color="A8C0D0" w:sz="1"/>
              <w:bottom w:val="single" w:color="A8C0D0" w:sz="1"/>
              <w:right w:val="single" w:color="A8C0D0" w:sz="1"/>
            </w:tcBorders>
            <w:shd w:fill="EBF4F8" w:val="clear"/>
            <w:tcMar>
              <w:top w:type="dxa" w:w="80"/>
              <w:left w:type="dxa" w:w="160"/>
              <w:bottom w:type="dxa" w:w="80"/>
              <w:right w:type="dxa" w:w="160"/>
            </w:tcMar>
          </w:tcPr>
          <w:p>
            <w:pPr>
              <w:spacing w:after="0" w:before="0"/>
            </w:pPr>
            <w:r>
              <w:rPr>
                <w:rFonts w:ascii="Arial" w:cs="Arial" w:eastAsia="Arial" w:hAnsi="Arial"/>
                <w:b w:val="false"/>
                <w:bCs w:val="false"/>
                <w:color w:val="2A3C4A"/>
                <w:sz w:val="20"/>
                <w:szCs w:val="20"/>
              </w:rPr>
              <w:t xml:space="preserve">Up to $5,000–$10,000</w:t>
            </w:r>
          </w:p>
        </w:tc>
        <w:tc>
          <w:tcPr>
            <w:tcW w:type="dxa" w:w="3330"/>
            <w:tcBorders>
              <w:top w:val="single" w:color="A8C0D0" w:sz="1"/>
              <w:left w:val="single" w:color="A8C0D0" w:sz="1"/>
              <w:bottom w:val="single" w:color="A8C0D0" w:sz="1"/>
              <w:right w:val="single" w:color="A8C0D0" w:sz="1"/>
            </w:tcBorders>
            <w:shd w:fill="EBF4F8" w:val="clear"/>
            <w:tcMar>
              <w:top w:type="dxa" w:w="80"/>
              <w:left w:type="dxa" w:w="160"/>
              <w:bottom w:type="dxa" w:w="80"/>
              <w:right w:type="dxa" w:w="160"/>
            </w:tcMar>
          </w:tcPr>
          <w:p>
            <w:pPr>
              <w:spacing w:after="0" w:before="0"/>
            </w:pPr>
            <w:r>
              <w:rPr>
                <w:rFonts w:ascii="Arial" w:cs="Arial" w:eastAsia="Arial" w:hAnsi="Arial"/>
                <w:b w:val="false"/>
                <w:bCs w:val="false"/>
                <w:color w:val="2A3C4A"/>
                <w:sz w:val="20"/>
                <w:szCs w:val="20"/>
              </w:rPr>
              <w:t xml:space="preserve">Higher limits available</w:t>
            </w:r>
          </w:p>
        </w:tc>
      </w:tr>
      <w:tr>
        <w:tc>
          <w:tcPr>
            <w:tcW w:type="dxa" w:w="2900"/>
            <w:tcBorders>
              <w:top w:val="single" w:color="A8C0D0" w:sz="1"/>
              <w:left w:val="single" w:color="A8C0D0" w:sz="1"/>
              <w:bottom w:val="single" w:color="A8C0D0" w:sz="1"/>
              <w:right w:val="single" w:color="A8C0D0" w:sz="1"/>
            </w:tcBorders>
            <w:shd w:fill="FFFFFF" w:val="clear"/>
            <w:tcMar>
              <w:top w:type="dxa" w:w="80"/>
              <w:left w:type="dxa" w:w="160"/>
              <w:bottom w:type="dxa" w:w="80"/>
              <w:right w:type="dxa" w:w="160"/>
            </w:tcMar>
          </w:tcPr>
          <w:p>
            <w:pPr>
              <w:spacing w:after="0" w:before="0"/>
            </w:pPr>
            <w:r>
              <w:rPr>
                <w:rFonts w:ascii="Arial" w:cs="Arial" w:eastAsia="Arial" w:hAnsi="Arial"/>
                <w:b/>
                <w:bCs/>
                <w:color w:val="0A1A28"/>
                <w:sz w:val="20"/>
                <w:szCs w:val="20"/>
              </w:rPr>
              <w:t xml:space="preserve">Crew coverage</w:t>
            </w:r>
          </w:p>
        </w:tc>
        <w:tc>
          <w:tcPr>
            <w:tcW w:type="dxa" w:w="3130"/>
            <w:tcBorders>
              <w:top w:val="single" w:color="A8C0D0" w:sz="1"/>
              <w:left w:val="single" w:color="A8C0D0" w:sz="1"/>
              <w:bottom w:val="single" w:color="A8C0D0" w:sz="1"/>
              <w:right w:val="single" w:color="A8C0D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A3C4A"/>
                <w:sz w:val="20"/>
                <w:szCs w:val="20"/>
              </w:rPr>
              <w:t xml:space="preserve">Not applicable</w:t>
            </w:r>
          </w:p>
        </w:tc>
        <w:tc>
          <w:tcPr>
            <w:tcW w:type="dxa" w:w="3330"/>
            <w:tcBorders>
              <w:top w:val="single" w:color="A8C0D0" w:sz="1"/>
              <w:left w:val="single" w:color="A8C0D0" w:sz="1"/>
              <w:bottom w:val="single" w:color="A8C0D0" w:sz="1"/>
              <w:right w:val="single" w:color="A8C0D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A3C4A"/>
                <w:sz w:val="20"/>
                <w:szCs w:val="20"/>
              </w:rPr>
              <w:t xml:space="preserve">Professional crew coverage available</w:t>
            </w:r>
          </w:p>
        </w:tc>
      </w:tr>
      <w:tr>
        <w:tc>
          <w:tcPr>
            <w:tcW w:type="dxa" w:w="2900"/>
            <w:tcBorders>
              <w:top w:val="single" w:color="A8C0D0" w:sz="1"/>
              <w:left w:val="single" w:color="A8C0D0" w:sz="1"/>
              <w:bottom w:val="single" w:color="A8C0D0" w:sz="1"/>
              <w:right w:val="single" w:color="A8C0D0" w:sz="1"/>
            </w:tcBorders>
            <w:shd w:fill="EBF4F8" w:val="clear"/>
            <w:tcMar>
              <w:top w:type="dxa" w:w="80"/>
              <w:left w:type="dxa" w:w="160"/>
              <w:bottom w:type="dxa" w:w="80"/>
              <w:right w:type="dxa" w:w="160"/>
            </w:tcMar>
          </w:tcPr>
          <w:p>
            <w:pPr>
              <w:spacing w:after="0" w:before="0"/>
            </w:pPr>
            <w:r>
              <w:rPr>
                <w:rFonts w:ascii="Arial" w:cs="Arial" w:eastAsia="Arial" w:hAnsi="Arial"/>
                <w:b/>
                <w:bCs/>
                <w:color w:val="0A1A28"/>
                <w:sz w:val="20"/>
                <w:szCs w:val="20"/>
              </w:rPr>
              <w:t xml:space="preserve">Navigational warranties</w:t>
            </w:r>
          </w:p>
        </w:tc>
        <w:tc>
          <w:tcPr>
            <w:tcW w:type="dxa" w:w="3130"/>
            <w:tcBorders>
              <w:top w:val="single" w:color="A8C0D0" w:sz="1"/>
              <w:left w:val="single" w:color="A8C0D0" w:sz="1"/>
              <w:bottom w:val="single" w:color="A8C0D0" w:sz="1"/>
              <w:right w:val="single" w:color="A8C0D0" w:sz="1"/>
            </w:tcBorders>
            <w:shd w:fill="EBF4F8" w:val="clear"/>
            <w:tcMar>
              <w:top w:type="dxa" w:w="80"/>
              <w:left w:type="dxa" w:w="160"/>
              <w:bottom w:type="dxa" w:w="80"/>
              <w:right w:type="dxa" w:w="160"/>
            </w:tcMar>
          </w:tcPr>
          <w:p>
            <w:pPr>
              <w:spacing w:after="0" w:before="0"/>
            </w:pPr>
            <w:r>
              <w:rPr>
                <w:rFonts w:ascii="Arial" w:cs="Arial" w:eastAsia="Arial" w:hAnsi="Arial"/>
                <w:b w:val="false"/>
                <w:bCs w:val="false"/>
                <w:color w:val="2A3C4A"/>
                <w:sz w:val="20"/>
                <w:szCs w:val="20"/>
              </w:rPr>
              <w:t xml:space="preserve">Basic geographic limits</w:t>
            </w:r>
          </w:p>
        </w:tc>
        <w:tc>
          <w:tcPr>
            <w:tcW w:type="dxa" w:w="3330"/>
            <w:tcBorders>
              <w:top w:val="single" w:color="A8C0D0" w:sz="1"/>
              <w:left w:val="single" w:color="A8C0D0" w:sz="1"/>
              <w:bottom w:val="single" w:color="A8C0D0" w:sz="1"/>
              <w:right w:val="single" w:color="A8C0D0" w:sz="1"/>
            </w:tcBorders>
            <w:shd w:fill="EBF4F8" w:val="clear"/>
            <w:tcMar>
              <w:top w:type="dxa" w:w="80"/>
              <w:left w:type="dxa" w:w="160"/>
              <w:bottom w:type="dxa" w:w="80"/>
              <w:right w:type="dxa" w:w="160"/>
            </w:tcMar>
          </w:tcPr>
          <w:p>
            <w:pPr>
              <w:spacing w:after="0" w:before="0"/>
            </w:pPr>
            <w:r>
              <w:rPr>
                <w:rFonts w:ascii="Arial" w:cs="Arial" w:eastAsia="Arial" w:hAnsi="Arial"/>
                <w:b w:val="false"/>
                <w:bCs w:val="false"/>
                <w:color w:val="2A3C4A"/>
                <w:sz w:val="20"/>
                <w:szCs w:val="20"/>
              </w:rPr>
              <w:t xml:space="preserve">Detailed navigation agreements</w:t>
            </w:r>
          </w:p>
        </w:tc>
      </w:tr>
      <w:tr>
        <w:tc>
          <w:tcPr>
            <w:tcW w:type="dxa" w:w="2900"/>
            <w:tcBorders>
              <w:top w:val="single" w:color="A8C0D0" w:sz="1"/>
              <w:left w:val="single" w:color="A8C0D0" w:sz="1"/>
              <w:bottom w:val="single" w:color="A8C0D0" w:sz="1"/>
              <w:right w:val="single" w:color="A8C0D0" w:sz="1"/>
            </w:tcBorders>
            <w:shd w:fill="FFFFFF" w:val="clear"/>
            <w:tcMar>
              <w:top w:type="dxa" w:w="80"/>
              <w:left w:type="dxa" w:w="160"/>
              <w:bottom w:type="dxa" w:w="80"/>
              <w:right w:type="dxa" w:w="160"/>
            </w:tcMar>
          </w:tcPr>
          <w:p>
            <w:pPr>
              <w:spacing w:after="0" w:before="0"/>
            </w:pPr>
            <w:r>
              <w:rPr>
                <w:rFonts w:ascii="Arial" w:cs="Arial" w:eastAsia="Arial" w:hAnsi="Arial"/>
                <w:b/>
                <w:bCs/>
                <w:color w:val="0A1A28"/>
                <w:sz w:val="20"/>
                <w:szCs w:val="20"/>
              </w:rPr>
              <w:t xml:space="preserve">Wreck removal</w:t>
            </w:r>
          </w:p>
        </w:tc>
        <w:tc>
          <w:tcPr>
            <w:tcW w:type="dxa" w:w="3130"/>
            <w:tcBorders>
              <w:top w:val="single" w:color="A8C0D0" w:sz="1"/>
              <w:left w:val="single" w:color="A8C0D0" w:sz="1"/>
              <w:bottom w:val="single" w:color="A8C0D0" w:sz="1"/>
              <w:right w:val="single" w:color="A8C0D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A3C4A"/>
                <w:sz w:val="20"/>
                <w:szCs w:val="20"/>
              </w:rPr>
              <w:t xml:space="preserve">Limited</w:t>
            </w:r>
          </w:p>
        </w:tc>
        <w:tc>
          <w:tcPr>
            <w:tcW w:type="dxa" w:w="3330"/>
            <w:tcBorders>
              <w:top w:val="single" w:color="A8C0D0" w:sz="1"/>
              <w:left w:val="single" w:color="A8C0D0" w:sz="1"/>
              <w:bottom w:val="single" w:color="A8C0D0" w:sz="1"/>
              <w:right w:val="single" w:color="A8C0D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A3C4A"/>
                <w:sz w:val="20"/>
                <w:szCs w:val="20"/>
              </w:rPr>
              <w:t xml:space="preserve">Comprehensive wreck removal included</w:t>
            </w:r>
          </w:p>
        </w:tc>
      </w:tr>
      <w:tr>
        <w:tc>
          <w:tcPr>
            <w:tcW w:type="dxa" w:w="2900"/>
            <w:tcBorders>
              <w:top w:val="single" w:color="A8C0D0" w:sz="1"/>
              <w:left w:val="single" w:color="A8C0D0" w:sz="1"/>
              <w:bottom w:val="single" w:color="A8C0D0" w:sz="1"/>
              <w:right w:val="single" w:color="A8C0D0" w:sz="1"/>
            </w:tcBorders>
            <w:shd w:fill="EBF4F8" w:val="clear"/>
            <w:tcMar>
              <w:top w:type="dxa" w:w="80"/>
              <w:left w:type="dxa" w:w="160"/>
              <w:bottom w:type="dxa" w:w="80"/>
              <w:right w:type="dxa" w:w="160"/>
            </w:tcMar>
          </w:tcPr>
          <w:p>
            <w:pPr>
              <w:spacing w:after="0" w:before="0"/>
            </w:pPr>
            <w:r>
              <w:rPr>
                <w:rFonts w:ascii="Arial" w:cs="Arial" w:eastAsia="Arial" w:hAnsi="Arial"/>
                <w:b/>
                <w:bCs/>
                <w:color w:val="0A1A28"/>
                <w:sz w:val="20"/>
                <w:szCs w:val="20"/>
              </w:rPr>
              <w:t xml:space="preserve">Survey requirements</w:t>
            </w:r>
          </w:p>
        </w:tc>
        <w:tc>
          <w:tcPr>
            <w:tcW w:type="dxa" w:w="3130"/>
            <w:tcBorders>
              <w:top w:val="single" w:color="A8C0D0" w:sz="1"/>
              <w:left w:val="single" w:color="A8C0D0" w:sz="1"/>
              <w:bottom w:val="single" w:color="A8C0D0" w:sz="1"/>
              <w:right w:val="single" w:color="A8C0D0" w:sz="1"/>
            </w:tcBorders>
            <w:shd w:fill="EBF4F8" w:val="clear"/>
            <w:tcMar>
              <w:top w:type="dxa" w:w="80"/>
              <w:left w:type="dxa" w:w="160"/>
              <w:bottom w:type="dxa" w:w="80"/>
              <w:right w:type="dxa" w:w="160"/>
            </w:tcMar>
          </w:tcPr>
          <w:p>
            <w:pPr>
              <w:spacing w:after="0" w:before="0"/>
            </w:pPr>
            <w:r>
              <w:rPr>
                <w:rFonts w:ascii="Arial" w:cs="Arial" w:eastAsia="Arial" w:hAnsi="Arial"/>
                <w:b w:val="false"/>
                <w:bCs w:val="false"/>
                <w:color w:val="2A3C4A"/>
                <w:sz w:val="20"/>
                <w:szCs w:val="20"/>
              </w:rPr>
              <w:t xml:space="preserve">Not typically required</w:t>
            </w:r>
          </w:p>
        </w:tc>
        <w:tc>
          <w:tcPr>
            <w:tcW w:type="dxa" w:w="3330"/>
            <w:tcBorders>
              <w:top w:val="single" w:color="A8C0D0" w:sz="1"/>
              <w:left w:val="single" w:color="A8C0D0" w:sz="1"/>
              <w:bottom w:val="single" w:color="A8C0D0" w:sz="1"/>
              <w:right w:val="single" w:color="A8C0D0" w:sz="1"/>
            </w:tcBorders>
            <w:shd w:fill="EBF4F8" w:val="clear"/>
            <w:tcMar>
              <w:top w:type="dxa" w:w="80"/>
              <w:left w:type="dxa" w:w="160"/>
              <w:bottom w:type="dxa" w:w="80"/>
              <w:right w:type="dxa" w:w="160"/>
            </w:tcMar>
          </w:tcPr>
          <w:p>
            <w:pPr>
              <w:spacing w:after="0" w:before="0"/>
            </w:pPr>
            <w:r>
              <w:rPr>
                <w:rFonts w:ascii="Arial" w:cs="Arial" w:eastAsia="Arial" w:hAnsi="Arial"/>
                <w:b w:val="false"/>
                <w:bCs w:val="false"/>
                <w:color w:val="2A3C4A"/>
                <w:sz w:val="20"/>
                <w:szCs w:val="20"/>
              </w:rPr>
              <w:t xml:space="preserve">Marine survey required for coverage</w:t>
            </w:r>
          </w:p>
        </w:tc>
      </w:tr>
    </w:tbl>
    <w:p>
      <w:pPr>
        <w:spacing w:after="0" w:before="120"/>
      </w:pPr>
      <w:r>
        <w:rPr>
          <w:rFonts w:ascii="Arial" w:cs="Arial" w:eastAsia="Arial" w:hAnsi="Arial"/>
        </w:rPr>
        <w:t xml:space="preserve"/>
      </w:r>
    </w:p>
    <w:p>
      <w:pPr>
        <w:pBdr>
          <w:bottom w:val="single" w:color="B0CEDA" w:sz="4" w:space="4"/>
        </w:pBdr>
        <w:spacing w:after="80" w:before="220"/>
      </w:pPr>
      <w:r>
        <w:rPr>
          <w:rFonts w:ascii="Arial" w:cs="Arial" w:eastAsia="Arial" w:hAnsi="Arial"/>
          <w:b/>
          <w:bCs/>
          <w:color w:val="0A2E4A"/>
          <w:sz w:val="24"/>
          <w:szCs w:val="24"/>
        </w:rPr>
        <w:t xml:space="preserve">When to Move from Boat to Yacht Insurance</w:t>
      </w:r>
    </w:p>
    <w:p>
      <w:pPr>
        <w:spacing w:after="110" w:before="80"/>
      </w:pPr>
      <w:r>
        <w:rPr>
          <w:rFonts w:ascii="Arial" w:cs="Arial" w:eastAsia="Arial" w:hAnsi="Arial"/>
          <w:color w:val="0A1A28"/>
          <w:sz w:val="22"/>
          <w:szCs w:val="22"/>
        </w:rPr>
        <w:t xml:space="preserve">If your vessel exceeds approximately 26–28 feet in length, is valued above $75,000–$100,000, operates offshore or internationally, carries a paid crew, or is used for extended live-aboard cruising, a standard boat policy is likely inadequate. Yacht insurance programs offer higher coverage limits, broader territorial coverage, agreed value settlement as the standard (not an option), and specialized coverages such as professional crew liability that standard boat policies do not include.</w:t>
      </w:r>
    </w:p>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8A6A2E" w:sz="18"/>
              <w:bottom w:val="none" w:color="FFFFFF" w:sz="0"/>
              <w:right w:val="none" w:color="FFFFFF" w:sz="0"/>
            </w:tcBorders>
            <w:shd w:fill="FFF8EC" w:val="clear"/>
            <w:tcMar>
              <w:top w:type="dxa" w:w="110"/>
              <w:left w:type="dxa" w:w="200"/>
              <w:bottom w:type="dxa" w:w="110"/>
              <w:right w:type="dxa" w:w="160"/>
            </w:tcMar>
          </w:tcPr>
          <w:p>
            <w:pPr>
              <w:spacing w:after="60" w:before="0"/>
            </w:pPr>
            <w:r>
              <w:rPr>
                <w:rFonts w:ascii="Arial" w:cs="Arial" w:eastAsia="Arial" w:hAnsi="Arial"/>
                <w:b/>
                <w:bCs/>
                <w:caps/>
                <w:color w:val="8A6A2E"/>
                <w:sz w:val="19"/>
                <w:szCs w:val="19"/>
              </w:rPr>
              <w:t xml:space="preserve">The Survey Requirement</w:t>
            </w:r>
          </w:p>
          <w:p>
            <w:pPr>
              <w:spacing w:after="0" w:before="0"/>
            </w:pPr>
            <w:r>
              <w:rPr>
                <w:rFonts w:ascii="Arial" w:cs="Arial" w:eastAsia="Arial" w:hAnsi="Arial"/>
                <w:color w:val="4A3010"/>
                <w:sz w:val="20"/>
                <w:szCs w:val="20"/>
              </w:rPr>
              <w:t xml:space="preserve">Most yacht insurers require a professional marine survey — a detailed inspection by a certified marine surveyor — before issuing or renewing coverage on vessels over a certain age or value. The survey assesses the vessel’s condition, equipment, and seaworthiness. A poor survey result can affect coverage availability and premiums, but it also alerts the owner to conditions that could prevent a serious loss.</w:t>
            </w:r>
          </w:p>
        </w:tc>
      </w:tr>
    </w:tbl>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0D6E8A" w:sz="18"/>
              <w:bottom w:val="none" w:color="FFFFFF" w:sz="0"/>
              <w:right w:val="none" w:color="FFFFFF" w:sz="0"/>
            </w:tcBorders>
            <w:shd w:fill="E8F5F8" w:val="clear"/>
            <w:tcMar>
              <w:top w:type="dxa" w:w="110"/>
              <w:left w:type="dxa" w:w="200"/>
              <w:bottom w:type="dxa" w:w="110"/>
              <w:right w:type="dxa" w:w="160"/>
            </w:tcMar>
          </w:tcPr>
          <w:p>
            <w:pPr>
              <w:spacing w:after="0" w:before="0"/>
            </w:pPr>
            <w:r>
              <w:rPr>
                <w:rFonts w:ascii="Arial" w:cs="Arial" w:eastAsia="Arial" w:hAnsi="Arial"/>
                <w:b/>
                <w:bCs/>
                <w:color w:val="1A4E6A"/>
                <w:sz w:val="20"/>
                <w:szCs w:val="20"/>
              </w:rPr>
              <w:t xml:space="preserve">Key Takeaway: </w:t>
            </w:r>
            <w:r>
              <w:rPr>
                <w:rFonts w:ascii="Arial" w:cs="Arial" w:eastAsia="Arial" w:hAnsi="Arial"/>
                <w:color w:val="2A3C4A"/>
                <w:sz w:val="20"/>
                <w:szCs w:val="20"/>
              </w:rPr>
              <w:t xml:space="preserve">If you are unsure whether your vessel needs boat insurance or yacht insurance, the practical answer is to discuss it with a marine insurance specialist. The wrong policy type can result in coverage gaps, valuation disputes, or claim denials that leave you significantly exposed at the worst possible time.</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0A2E4A" w:val="clear"/>
            <w:tcMar>
              <w:top w:type="dxa" w:w="160"/>
              <w:left w:type="dxa" w:w="240"/>
              <w:bottom w:type="dxa" w:w="160"/>
              <w:right w:type="dxa" w:w="240"/>
            </w:tcMar>
          </w:tcPr>
          <w:p>
            <w:pPr>
              <w:spacing w:after="0" w:before="0"/>
            </w:pPr>
            <w:r>
              <w:rPr>
                <w:rFonts w:ascii="Arial" w:cs="Arial" w:eastAsia="Arial" w:hAnsi="Arial"/>
                <w:b/>
                <w:bCs/>
                <w:color w:val="A8D4E0"/>
                <w:sz w:val="28"/>
                <w:szCs w:val="28"/>
              </w:rPr>
              <w:t xml:space="preserve">6.  </w:t>
            </w:r>
            <w:r>
              <w:rPr>
                <w:rFonts w:ascii="Arial" w:cs="Arial" w:eastAsia="Arial" w:hAnsi="Arial"/>
                <w:b/>
                <w:bCs/>
                <w:color w:val="FFFFFF"/>
                <w:sz w:val="28"/>
                <w:szCs w:val="28"/>
              </w:rPr>
              <w:t xml:space="preserve">Watercraft Insurance vs. Marine Insurance</w:t>
            </w:r>
          </w:p>
        </w:tc>
      </w:tr>
    </w:tbl>
    <w:p>
      <w:pPr>
        <w:spacing w:after="0" w:before="100"/>
      </w:pPr>
      <w:r>
        <w:rPr>
          <w:rFonts w:ascii="Arial" w:cs="Arial" w:eastAsia="Arial" w:hAnsi="Arial"/>
        </w:rPr>
        <w:t xml:space="preserve"/>
      </w:r>
    </w:p>
    <w:p>
      <w:pPr>
        <w:spacing w:after="110" w:before="80"/>
      </w:pPr>
      <w:r>
        <w:rPr>
          <w:rFonts w:ascii="Arial" w:cs="Arial" w:eastAsia="Arial" w:hAnsi="Arial"/>
          <w:color w:val="0A1A28"/>
          <w:sz w:val="22"/>
          <w:szCs w:val="22"/>
        </w:rPr>
        <w:t xml:space="preserve">The terms “watercraft insurance” and “marine insurance” are related but not interchangeable. They describe different product categories within the broader spectrum of insurance for vessels and water-related risks. Understanding the distinction helps boat owners ensure they are purchasing the right type of coverage for their specific needs.</w:t>
      </w:r>
    </w:p>
    <w:p>
      <w:pPr>
        <w:spacing w:after="0" w:before="10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20"/>
        <w:gridCol w:w="4620"/>
      </w:tblGrid>
      <w:tr>
        <w:tc>
          <w:tcPr>
            <w:tcW w:type="dxa" w:w="4620"/>
            <w:tcBorders>
              <w:top w:val="single" w:color="A8C0D0" w:sz="1"/>
              <w:left w:val="single" w:color="A8C0D0" w:sz="1"/>
              <w:bottom w:val="single" w:color="A8C0D0" w:sz="1"/>
              <w:right w:val="single" w:color="A8C0D0" w:sz="1"/>
            </w:tcBorders>
            <w:shd w:fill="EBF4F8" w:val="clear"/>
            <w:tcMar>
              <w:top w:type="dxa" w:w="110"/>
              <w:left w:type="dxa" w:w="160"/>
              <w:bottom w:type="dxa" w:w="110"/>
              <w:right w:type="dxa" w:w="160"/>
            </w:tcMar>
          </w:tcPr>
          <w:p>
            <w:pPr>
              <w:spacing w:after="60" w:before="0"/>
            </w:pPr>
            <w:r>
              <w:rPr>
                <w:rFonts w:ascii="Arial" w:cs="Arial" w:eastAsia="Arial" w:hAnsi="Arial"/>
                <w:b/>
                <w:bCs/>
                <w:color w:val="1A4E6A"/>
                <w:sz w:val="19"/>
                <w:szCs w:val="19"/>
              </w:rPr>
              <w:t xml:space="preserve">Watercraft Insurance</w:t>
            </w:r>
          </w:p>
          <w:p>
            <w:pPr>
              <w:spacing w:after="0" w:before="0"/>
            </w:pPr>
            <w:r>
              <w:rPr>
                <w:rFonts w:ascii="Arial" w:cs="Arial" w:eastAsia="Arial" w:hAnsi="Arial"/>
                <w:color w:val="2A3C4A"/>
                <w:sz w:val="20"/>
                <w:szCs w:val="20"/>
              </w:rPr>
              <w:t xml:space="preserve">A personal lines insurance product designed for individual recreational boat and watercraft owners. Covers personal-use vessels including motorboats, sailboats, jet skis, pontoons, and small yachts. Sold through personal lines insurers alongside auto and homeowners policies.</w:t>
            </w:r>
          </w:p>
        </w:tc>
        <w:tc>
          <w:tcPr>
            <w:tcW w:type="dxa" w:w="4620"/>
            <w:tcBorders>
              <w:top w:val="single" w:color="A8C0D0" w:sz="1"/>
              <w:left w:val="single" w:color="A8C0D0" w:sz="1"/>
              <w:bottom w:val="single" w:color="A8C0D0" w:sz="1"/>
              <w:right w:val="single" w:color="A8C0D0" w:sz="1"/>
            </w:tcBorders>
            <w:shd w:fill="EBF4F8" w:val="clear"/>
            <w:tcMar>
              <w:top w:type="dxa" w:w="110"/>
              <w:left w:type="dxa" w:w="160"/>
              <w:bottom w:type="dxa" w:w="110"/>
              <w:right w:type="dxa" w:w="160"/>
            </w:tcMar>
          </w:tcPr>
          <w:p>
            <w:pPr>
              <w:spacing w:after="60" w:before="0"/>
            </w:pPr>
            <w:r>
              <w:rPr>
                <w:rFonts w:ascii="Arial" w:cs="Arial" w:eastAsia="Arial" w:hAnsi="Arial"/>
                <w:b/>
                <w:bCs/>
                <w:color w:val="1A4E6A"/>
                <w:sz w:val="19"/>
                <w:szCs w:val="19"/>
              </w:rPr>
              <w:t xml:space="preserve">Marine Insurance</w:t>
            </w:r>
          </w:p>
          <w:p>
            <w:pPr>
              <w:spacing w:after="0" w:before="0"/>
            </w:pPr>
            <w:r>
              <w:rPr>
                <w:rFonts w:ascii="Arial" w:cs="Arial" w:eastAsia="Arial" w:hAnsi="Arial"/>
                <w:color w:val="2A3C4A"/>
                <w:sz w:val="20"/>
                <w:szCs w:val="20"/>
              </w:rPr>
              <w:t xml:space="preserve">A broad category of insurance that covers commercial and private vessels, cargo, marine liability, and ocean-going risks. Marine insurance is the broader class; watercraft insurance is a subset. Commercial fishing boats, cargo ships, tugboats, and commercial yachts are insured under marine insurance rather than watercraft insurance.</w:t>
            </w:r>
          </w:p>
        </w:tc>
      </w:tr>
      <w:tr>
        <w:tc>
          <w:tcPr>
            <w:tcW w:type="dxa" w:w="4620"/>
            <w:tcBorders>
              <w:top w:val="single" w:color="A8C0D0" w:sz="1"/>
              <w:left w:val="single" w:color="A8C0D0" w:sz="1"/>
              <w:bottom w:val="single" w:color="A8C0D0" w:sz="1"/>
              <w:right w:val="single" w:color="A8C0D0" w:sz="1"/>
            </w:tcBorders>
            <w:shd w:fill="EBF4F8" w:val="clear"/>
            <w:tcMar>
              <w:top w:type="dxa" w:w="110"/>
              <w:left w:type="dxa" w:w="160"/>
              <w:bottom w:type="dxa" w:w="110"/>
              <w:right w:type="dxa" w:w="160"/>
            </w:tcMar>
          </w:tcPr>
          <w:p>
            <w:pPr>
              <w:spacing w:after="60" w:before="0"/>
            </w:pPr>
            <w:r>
              <w:rPr>
                <w:rFonts w:ascii="Arial" w:cs="Arial" w:eastAsia="Arial" w:hAnsi="Arial"/>
                <w:b/>
                <w:bCs/>
                <w:color w:val="1A4E6A"/>
                <w:sz w:val="19"/>
                <w:szCs w:val="19"/>
              </w:rPr>
              <w:t xml:space="preserve">Inland Marine Insurance</w:t>
            </w:r>
          </w:p>
          <w:p>
            <w:pPr>
              <w:spacing w:after="0" w:before="0"/>
            </w:pPr>
            <w:r>
              <w:rPr>
                <w:rFonts w:ascii="Arial" w:cs="Arial" w:eastAsia="Arial" w:hAnsi="Arial"/>
                <w:color w:val="2A3C4A"/>
                <w:sz w:val="20"/>
                <w:szCs w:val="20"/>
              </w:rPr>
              <w:t xml:space="preserve">Despite its name, inland marine insurance covers property in transit and mobile property — including boats and boating equipment in some contexts. A boat trailer floater or a marine contractor’s equipment policy are examples of inland marine products related to boating.</w:t>
            </w:r>
          </w:p>
        </w:tc>
        <w:tc>
          <w:tcPr>
            <w:tcW w:type="dxa" w:w="4620"/>
            <w:tcBorders>
              <w:top w:val="single" w:color="A8C0D0" w:sz="1"/>
              <w:left w:val="single" w:color="A8C0D0" w:sz="1"/>
              <w:bottom w:val="single" w:color="A8C0D0" w:sz="1"/>
              <w:right w:val="single" w:color="A8C0D0" w:sz="1"/>
            </w:tcBorders>
            <w:shd w:fill="EBF4F8" w:val="clear"/>
            <w:tcMar>
              <w:top w:type="dxa" w:w="110"/>
              <w:left w:type="dxa" w:w="160"/>
              <w:bottom w:type="dxa" w:w="110"/>
              <w:right w:type="dxa" w:w="160"/>
            </w:tcMar>
          </w:tcPr>
          <w:p>
            <w:pPr>
              <w:spacing w:after="60" w:before="0"/>
            </w:pPr>
            <w:r>
              <w:rPr>
                <w:rFonts w:ascii="Arial" w:cs="Arial" w:eastAsia="Arial" w:hAnsi="Arial"/>
                <w:b/>
                <w:bCs/>
                <w:color w:val="1A4E6A"/>
                <w:sz w:val="19"/>
                <w:szCs w:val="19"/>
              </w:rPr>
              <w:t xml:space="preserve">Ocean Marine Insurance</w:t>
            </w:r>
          </w:p>
          <w:p>
            <w:pPr>
              <w:spacing w:after="0" w:before="0"/>
            </w:pPr>
            <w:r>
              <w:rPr>
                <w:rFonts w:ascii="Arial" w:cs="Arial" w:eastAsia="Arial" w:hAnsi="Arial"/>
                <w:color w:val="2A3C4A"/>
                <w:sz w:val="20"/>
                <w:szCs w:val="20"/>
              </w:rPr>
              <w:t xml:space="preserve">The oldest form of insurance, covering vessels and cargo on ocean voyages. Ocean marine insurance covers hull (physical damage), cargo, freight (revenue), and marine liability. Primarily a commercial product, though offshore pleasure craft and bluewater cruising yachts may require ocean marine coverage for extended ocean passages.</w:t>
            </w:r>
          </w:p>
        </w:tc>
      </w:tr>
    </w:tbl>
    <w:p>
      <w:pPr>
        <w:spacing w:after="0" w:before="100"/>
      </w:pPr>
      <w:r>
        <w:rPr>
          <w:rFonts w:ascii="Arial" w:cs="Arial" w:eastAsia="Arial" w:hAnsi="Arial"/>
        </w:rPr>
        <w:t xml:space="preserve"/>
      </w:r>
    </w:p>
    <w:p>
      <w:pPr>
        <w:pBdr>
          <w:bottom w:val="single" w:color="B0CEDA" w:sz="4" w:space="4"/>
        </w:pBdr>
        <w:spacing w:after="80" w:before="220"/>
      </w:pPr>
      <w:r>
        <w:rPr>
          <w:rFonts w:ascii="Arial" w:cs="Arial" w:eastAsia="Arial" w:hAnsi="Arial"/>
          <w:b/>
          <w:bCs/>
          <w:color w:val="0A2E4A"/>
          <w:sz w:val="24"/>
          <w:szCs w:val="24"/>
        </w:rPr>
        <w:t xml:space="preserve">Which Product Is Right for Your Situation</w:t>
      </w:r>
    </w:p>
    <w:p>
      <w:pPr>
        <w:spacing w:after="0" w:before="60"/>
      </w:pPr>
      <w:r>
        <w:rPr>
          <w:rFonts w:ascii="Arial" w:cs="Arial" w:eastAsia="Arial" w:hAnsi="Arial"/>
        </w:rPr>
        <w:t xml:space="preserve"/>
      </w:r>
    </w:p>
    <w:p>
      <w:pPr>
        <w:pStyle w:val="ListParagraph"/>
        <w:numPr>
          <w:ilvl w:val="0"/>
          <w:numId w:val="2"/>
        </w:numPr>
        <w:spacing w:after="60" w:before="60"/>
      </w:pPr>
      <w:r>
        <w:rPr>
          <w:rFonts w:ascii="Arial" w:cs="Arial" w:eastAsia="Arial" w:hAnsi="Arial"/>
          <w:b/>
          <w:bCs/>
          <w:color w:val="0D6E8A"/>
          <w:sz w:val="22"/>
          <w:szCs w:val="22"/>
        </w:rPr>
        <w:t xml:space="preserve">Recreational powerboat, pontoon, or PWC — </w:t>
      </w:r>
      <w:r>
        <w:rPr>
          <w:rFonts w:ascii="Arial" w:cs="Arial" w:eastAsia="Arial" w:hAnsi="Arial"/>
          <w:color w:val="2A3C4A"/>
          <w:sz w:val="22"/>
          <w:szCs w:val="22"/>
        </w:rPr>
        <w:t xml:space="preserve">watercraft insurance — available from personal lines carriers and specialty marine programs</w:t>
      </w:r>
    </w:p>
    <w:p>
      <w:pPr>
        <w:pStyle w:val="ListParagraph"/>
        <w:numPr>
          <w:ilvl w:val="0"/>
          <w:numId w:val="2"/>
        </w:numPr>
        <w:spacing w:after="60" w:before="60"/>
      </w:pPr>
      <w:r>
        <w:rPr>
          <w:rFonts w:ascii="Arial" w:cs="Arial" w:eastAsia="Arial" w:hAnsi="Arial"/>
          <w:b/>
          <w:bCs/>
          <w:color w:val="0D6E8A"/>
          <w:sz w:val="22"/>
          <w:szCs w:val="22"/>
        </w:rPr>
        <w:t xml:space="preserve">Sailboat under 26 feet — </w:t>
      </w:r>
      <w:r>
        <w:rPr>
          <w:rFonts w:ascii="Arial" w:cs="Arial" w:eastAsia="Arial" w:hAnsi="Arial"/>
          <w:color w:val="2A3C4A"/>
          <w:sz w:val="22"/>
          <w:szCs w:val="22"/>
        </w:rPr>
        <w:t xml:space="preserve">watercraft or boat insurance from a personal lines carrier or specialty marine insurer</w:t>
      </w:r>
    </w:p>
    <w:p>
      <w:pPr>
        <w:pStyle w:val="ListParagraph"/>
        <w:numPr>
          <w:ilvl w:val="0"/>
          <w:numId w:val="2"/>
        </w:numPr>
        <w:spacing w:after="60" w:before="60"/>
      </w:pPr>
      <w:r>
        <w:rPr>
          <w:rFonts w:ascii="Arial" w:cs="Arial" w:eastAsia="Arial" w:hAnsi="Arial"/>
          <w:b/>
          <w:bCs/>
          <w:color w:val="0D6E8A"/>
          <w:sz w:val="22"/>
          <w:szCs w:val="22"/>
        </w:rPr>
        <w:t xml:space="preserve">Sailboat or yacht 26–40+ feet — </w:t>
      </w:r>
      <w:r>
        <w:rPr>
          <w:rFonts w:ascii="Arial" w:cs="Arial" w:eastAsia="Arial" w:hAnsi="Arial"/>
          <w:color w:val="2A3C4A"/>
          <w:sz w:val="22"/>
          <w:szCs w:val="22"/>
        </w:rPr>
        <w:t xml:space="preserve">yacht insurance from a specialty marine insurer; standard watercraft policies are inadequate</w:t>
      </w:r>
    </w:p>
    <w:p>
      <w:pPr>
        <w:pStyle w:val="ListParagraph"/>
        <w:numPr>
          <w:ilvl w:val="0"/>
          <w:numId w:val="2"/>
        </w:numPr>
        <w:spacing w:after="60" w:before="60"/>
      </w:pPr>
      <w:r>
        <w:rPr>
          <w:rFonts w:ascii="Arial" w:cs="Arial" w:eastAsia="Arial" w:hAnsi="Arial"/>
          <w:b/>
          <w:bCs/>
          <w:color w:val="0D6E8A"/>
          <w:sz w:val="22"/>
          <w:szCs w:val="22"/>
        </w:rPr>
        <w:t xml:space="preserve">Offshore cruiser or bluewater sailboat — </w:t>
      </w:r>
      <w:r>
        <w:rPr>
          <w:rFonts w:ascii="Arial" w:cs="Arial" w:eastAsia="Arial" w:hAnsi="Arial"/>
          <w:color w:val="2A3C4A"/>
          <w:sz w:val="22"/>
          <w:szCs w:val="22"/>
        </w:rPr>
        <w:t xml:space="preserve">blue water yacht insurance with extended navigational territory; possibly ocean marine elements for offshore passages</w:t>
      </w:r>
    </w:p>
    <w:p>
      <w:pPr>
        <w:pStyle w:val="ListParagraph"/>
        <w:numPr>
          <w:ilvl w:val="0"/>
          <w:numId w:val="2"/>
        </w:numPr>
        <w:spacing w:after="60" w:before="60"/>
      </w:pPr>
      <w:r>
        <w:rPr>
          <w:rFonts w:ascii="Arial" w:cs="Arial" w:eastAsia="Arial" w:hAnsi="Arial"/>
          <w:b/>
          <w:bCs/>
          <w:color w:val="0D6E8A"/>
          <w:sz w:val="22"/>
          <w:szCs w:val="22"/>
        </w:rPr>
        <w:t xml:space="preserve">Commercial fishing, charter, or rental — </w:t>
      </w:r>
      <w:r>
        <w:rPr>
          <w:rFonts w:ascii="Arial" w:cs="Arial" w:eastAsia="Arial" w:hAnsi="Arial"/>
          <w:color w:val="2A3C4A"/>
          <w:sz w:val="22"/>
          <w:szCs w:val="22"/>
        </w:rPr>
        <w:t xml:space="preserve">commercial marine insurance; personal watercraft policies exclude commercial use</w:t>
      </w:r>
    </w:p>
    <w:p>
      <w:pPr>
        <w:pStyle w:val="ListParagraph"/>
        <w:numPr>
          <w:ilvl w:val="0"/>
          <w:numId w:val="2"/>
        </w:numPr>
        <w:spacing w:after="60" w:before="60"/>
      </w:pPr>
      <w:r>
        <w:rPr>
          <w:rFonts w:ascii="Arial" w:cs="Arial" w:eastAsia="Arial" w:hAnsi="Arial"/>
          <w:b/>
          <w:bCs/>
          <w:color w:val="0D6E8A"/>
          <w:sz w:val="22"/>
          <w:szCs w:val="22"/>
        </w:rPr>
        <w:t xml:space="preserve">Boat dealer or marina operator — </w:t>
      </w:r>
      <w:r>
        <w:rPr>
          <w:rFonts w:ascii="Arial" w:cs="Arial" w:eastAsia="Arial" w:hAnsi="Arial"/>
          <w:color w:val="2A3C4A"/>
          <w:sz w:val="22"/>
          <w:szCs w:val="22"/>
        </w:rPr>
        <w:t xml:space="preserve">marine dealer open stock policy and marina operators liability; not a consumer watercraft product</w:t>
      </w:r>
    </w:p>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8A6A2E" w:sz="18"/>
              <w:bottom w:val="none" w:color="FFFFFF" w:sz="0"/>
              <w:right w:val="none" w:color="FFFFFF" w:sz="0"/>
            </w:tcBorders>
            <w:shd w:fill="FFF8EC" w:val="clear"/>
            <w:tcMar>
              <w:top w:type="dxa" w:w="110"/>
              <w:left w:type="dxa" w:w="200"/>
              <w:bottom w:type="dxa" w:w="110"/>
              <w:right w:type="dxa" w:w="160"/>
            </w:tcMar>
          </w:tcPr>
          <w:p>
            <w:pPr>
              <w:spacing w:after="60" w:before="0"/>
            </w:pPr>
            <w:r>
              <w:rPr>
                <w:rFonts w:ascii="Arial" w:cs="Arial" w:eastAsia="Arial" w:hAnsi="Arial"/>
                <w:b/>
                <w:bCs/>
                <w:caps/>
                <w:color w:val="8A6A2E"/>
                <w:sz w:val="19"/>
                <w:szCs w:val="19"/>
              </w:rPr>
              <w:t xml:space="preserve">The Commercial Use Exclusion</w:t>
            </w:r>
          </w:p>
          <w:p>
            <w:pPr>
              <w:spacing w:after="0" w:before="0"/>
            </w:pPr>
            <w:r>
              <w:rPr>
                <w:rFonts w:ascii="Arial" w:cs="Arial" w:eastAsia="Arial" w:hAnsi="Arial"/>
                <w:color w:val="4A3010"/>
                <w:sz w:val="20"/>
                <w:szCs w:val="20"/>
              </w:rPr>
              <w:t xml:space="preserve">Every personal watercraft and boat insurance policy contains a commercial use exclusion. If you use your boat to carry passengers for hire, offer fishing charters, rent the vessel, or use it in any commercial capacity — even occasionally — your personal boat policy will not cover claims arising from that use. Commercial marine insurance is required for any vessel used commercially.</w:t>
            </w:r>
          </w:p>
        </w:tc>
      </w:tr>
    </w:tbl>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0D6E8A" w:sz="18"/>
              <w:bottom w:val="none" w:color="FFFFFF" w:sz="0"/>
              <w:right w:val="none" w:color="FFFFFF" w:sz="0"/>
            </w:tcBorders>
            <w:shd w:fill="E8F5F8" w:val="clear"/>
            <w:tcMar>
              <w:top w:type="dxa" w:w="110"/>
              <w:left w:type="dxa" w:w="200"/>
              <w:bottom w:type="dxa" w:w="110"/>
              <w:right w:type="dxa" w:w="160"/>
            </w:tcMar>
          </w:tcPr>
          <w:p>
            <w:pPr>
              <w:spacing w:after="0" w:before="0"/>
            </w:pPr>
            <w:r>
              <w:rPr>
                <w:rFonts w:ascii="Arial" w:cs="Arial" w:eastAsia="Arial" w:hAnsi="Arial"/>
                <w:b/>
                <w:bCs/>
                <w:color w:val="1A4E6A"/>
                <w:sz w:val="20"/>
                <w:szCs w:val="20"/>
              </w:rPr>
              <w:t xml:space="preserve">Key Takeaway: </w:t>
            </w:r>
            <w:r>
              <w:rPr>
                <w:rFonts w:ascii="Arial" w:cs="Arial" w:eastAsia="Arial" w:hAnsi="Arial"/>
                <w:color w:val="2A3C4A"/>
                <w:sz w:val="20"/>
                <w:szCs w:val="20"/>
              </w:rPr>
              <w:t xml:space="preserve">For most recreational boat owners — whether the vessel is a bass boat, a pontoon, a jet ski, or a coastal cruiser up to 30–35 feet — a personal watercraft or boat insurance policy from a specialty marine insurer is the right product. For larger, more valuable, or offshore-capable vessels, a dedicated yacht insurance policy is appropriate.</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0A2E4A" w:val="clear"/>
            <w:tcMar>
              <w:top w:type="dxa" w:w="160"/>
              <w:left w:type="dxa" w:w="240"/>
              <w:bottom w:type="dxa" w:w="160"/>
              <w:right w:type="dxa" w:w="240"/>
            </w:tcMar>
          </w:tcPr>
          <w:p>
            <w:pPr>
              <w:spacing w:after="0" w:before="0"/>
            </w:pPr>
            <w:r>
              <w:rPr>
                <w:rFonts w:ascii="Arial" w:cs="Arial" w:eastAsia="Arial" w:hAnsi="Arial"/>
                <w:b/>
                <w:bCs/>
                <w:color w:val="A8D4E0"/>
                <w:sz w:val="28"/>
                <w:szCs w:val="28"/>
              </w:rPr>
              <w:t xml:space="preserve">7.  </w:t>
            </w:r>
            <w:r>
              <w:rPr>
                <w:rFonts w:ascii="Arial" w:cs="Arial" w:eastAsia="Arial" w:hAnsi="Arial"/>
                <w:b/>
                <w:bCs/>
                <w:color w:val="FFFFFF"/>
                <w:sz w:val="28"/>
                <w:szCs w:val="28"/>
              </w:rPr>
              <w:t xml:space="preserve">Agreed Value vs. Actual Cash Value for Boats</w:t>
            </w:r>
          </w:p>
        </w:tc>
      </w:tr>
    </w:tbl>
    <w:p>
      <w:pPr>
        <w:spacing w:after="0" w:before="100"/>
      </w:pPr>
      <w:r>
        <w:rPr>
          <w:rFonts w:ascii="Arial" w:cs="Arial" w:eastAsia="Arial" w:hAnsi="Arial"/>
        </w:rPr>
        <w:t xml:space="preserve"/>
      </w:r>
    </w:p>
    <w:p>
      <w:pPr>
        <w:spacing w:after="110" w:before="80"/>
      </w:pPr>
      <w:r>
        <w:rPr>
          <w:rFonts w:ascii="Arial" w:cs="Arial" w:eastAsia="Arial" w:hAnsi="Arial"/>
          <w:color w:val="0A1A28"/>
          <w:sz w:val="22"/>
          <w:szCs w:val="22"/>
        </w:rPr>
        <w:t xml:space="preserve">One of the most consequential decisions in boat insurance is choosing between agreed value and actual cash value (ACV) coverage. This choice determines how much you receive if your boat is totaled or stolen — and for many boat owners, the difference amounts to tens of thousands of dollars. Understanding both approaches is essential before purchasing or renewing a boat insurance policy.</w:t>
      </w:r>
    </w:p>
    <w:p>
      <w:pPr>
        <w:spacing w:after="0" w:before="10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20"/>
        <w:gridCol w:w="4620"/>
      </w:tblGrid>
      <w:tr>
        <w:tc>
          <w:tcPr>
            <w:tcW w:type="dxa" w:w="4620"/>
            <w:tcBorders>
              <w:top w:val="single" w:color="A8C0D0" w:sz="1"/>
              <w:left w:val="single" w:color="A8C0D0" w:sz="1"/>
              <w:bottom w:val="single" w:color="A8C0D0" w:sz="1"/>
              <w:right w:val="single" w:color="A8C0D0" w:sz="1"/>
            </w:tcBorders>
            <w:shd w:fill="EBF4F8" w:val="clear"/>
            <w:tcMar>
              <w:top w:type="dxa" w:w="110"/>
              <w:left w:type="dxa" w:w="160"/>
              <w:bottom w:type="dxa" w:w="110"/>
              <w:right w:type="dxa" w:w="160"/>
            </w:tcMar>
          </w:tcPr>
          <w:p>
            <w:pPr>
              <w:spacing w:after="60" w:before="0"/>
            </w:pPr>
            <w:r>
              <w:rPr>
                <w:rFonts w:ascii="Arial" w:cs="Arial" w:eastAsia="Arial" w:hAnsi="Arial"/>
                <w:b/>
                <w:bCs/>
                <w:color w:val="1A4E6A"/>
                <w:sz w:val="19"/>
                <w:szCs w:val="19"/>
              </w:rPr>
              <w:t xml:space="preserve">Agreed Value</w:t>
            </w:r>
          </w:p>
          <w:p>
            <w:pPr>
              <w:spacing w:after="0" w:before="0"/>
            </w:pPr>
            <w:r>
              <w:rPr>
                <w:rFonts w:ascii="Arial" w:cs="Arial" w:eastAsia="Arial" w:hAnsi="Arial"/>
                <w:color w:val="2A3C4A"/>
                <w:sz w:val="20"/>
                <w:szCs w:val="20"/>
              </w:rPr>
              <w:t xml:space="preserve">The insurer and the boat owner agree at policy inception on the insured value of the vessel. If a covered total loss occurs, the insurer pays the full agreed value — with no depreciation deducted and no dispute about worth. The agreed value is typically based on the current market value or an appraisal at the time the policy is written.</w:t>
            </w:r>
          </w:p>
        </w:tc>
        <w:tc>
          <w:tcPr>
            <w:tcW w:type="dxa" w:w="4620"/>
            <w:tcBorders>
              <w:top w:val="single" w:color="A8C0D0" w:sz="1"/>
              <w:left w:val="single" w:color="A8C0D0" w:sz="1"/>
              <w:bottom w:val="single" w:color="A8C0D0" w:sz="1"/>
              <w:right w:val="single" w:color="A8C0D0" w:sz="1"/>
            </w:tcBorders>
            <w:shd w:fill="EBF4F8" w:val="clear"/>
            <w:tcMar>
              <w:top w:type="dxa" w:w="110"/>
              <w:left w:type="dxa" w:w="160"/>
              <w:bottom w:type="dxa" w:w="110"/>
              <w:right w:type="dxa" w:w="160"/>
            </w:tcMar>
          </w:tcPr>
          <w:p>
            <w:pPr>
              <w:spacing w:after="60" w:before="0"/>
            </w:pPr>
            <w:r>
              <w:rPr>
                <w:rFonts w:ascii="Arial" w:cs="Arial" w:eastAsia="Arial" w:hAnsi="Arial"/>
                <w:b/>
                <w:bCs/>
                <w:color w:val="1A4E6A"/>
                <w:sz w:val="19"/>
                <w:szCs w:val="19"/>
              </w:rPr>
              <w:t xml:space="preserve">Actual Cash Value (ACV)</w:t>
            </w:r>
          </w:p>
          <w:p>
            <w:pPr>
              <w:spacing w:after="0" w:before="0"/>
            </w:pPr>
            <w:r>
              <w:rPr>
                <w:rFonts w:ascii="Arial" w:cs="Arial" w:eastAsia="Arial" w:hAnsi="Arial"/>
                <w:color w:val="2A3C4A"/>
                <w:sz w:val="20"/>
                <w:szCs w:val="20"/>
              </w:rPr>
              <w:t xml:space="preserve">The value of the vessel at the time of the loss, accounting for depreciation, age, condition, and market comparables. ACV is almost always less than what the owner paid for the boat or what it would cost to replace it. For older boats, ACV can be significantly less than perceived value.</w:t>
            </w:r>
          </w:p>
        </w:tc>
      </w:tr>
      <w:tr>
        <w:tc>
          <w:tcPr>
            <w:tcW w:type="dxa" w:w="4620"/>
            <w:tcBorders>
              <w:top w:val="single" w:color="A8C0D0" w:sz="1"/>
              <w:left w:val="single" w:color="A8C0D0" w:sz="1"/>
              <w:bottom w:val="single" w:color="A8C0D0" w:sz="1"/>
              <w:right w:val="single" w:color="A8C0D0" w:sz="1"/>
            </w:tcBorders>
            <w:shd w:fill="EBF4F8" w:val="clear"/>
            <w:tcMar>
              <w:top w:type="dxa" w:w="110"/>
              <w:left w:type="dxa" w:w="160"/>
              <w:bottom w:type="dxa" w:w="110"/>
              <w:right w:type="dxa" w:w="160"/>
            </w:tcMar>
          </w:tcPr>
          <w:p>
            <w:pPr>
              <w:spacing w:after="60" w:before="0"/>
            </w:pPr>
            <w:r>
              <w:rPr>
                <w:rFonts w:ascii="Arial" w:cs="Arial" w:eastAsia="Arial" w:hAnsi="Arial"/>
                <w:b/>
                <w:bCs/>
                <w:color w:val="1A4E6A"/>
                <w:sz w:val="19"/>
                <w:szCs w:val="19"/>
              </w:rPr>
              <w:t xml:space="preserve">Why Boats Depreciate</w:t>
            </w:r>
          </w:p>
          <w:p>
            <w:pPr>
              <w:spacing w:after="0" w:before="0"/>
            </w:pPr>
            <w:r>
              <w:rPr>
                <w:rFonts w:ascii="Arial" w:cs="Arial" w:eastAsia="Arial" w:hAnsi="Arial"/>
                <w:color w:val="2A3C4A"/>
                <w:sz w:val="20"/>
                <w:szCs w:val="20"/>
              </w:rPr>
              <w:t xml:space="preserve">Boats depreciate due to age, wear, UV exposure, engine hours, gelcoat oxidation, and the general deterioration of fiberglass, wood, and mechanical systems. A 10-year-old boat that sold for $60,000 new may have an ACV of $30,000–$40,000 — even if it has been meticulously maintained.</w:t>
            </w:r>
          </w:p>
        </w:tc>
        <w:tc>
          <w:tcPr>
            <w:tcW w:type="dxa" w:w="4620"/>
            <w:tcBorders>
              <w:top w:val="single" w:color="A8C0D0" w:sz="1"/>
              <w:left w:val="single" w:color="A8C0D0" w:sz="1"/>
              <w:bottom w:val="single" w:color="A8C0D0" w:sz="1"/>
              <w:right w:val="single" w:color="A8C0D0" w:sz="1"/>
            </w:tcBorders>
            <w:shd w:fill="EBF4F8" w:val="clear"/>
            <w:tcMar>
              <w:top w:type="dxa" w:w="110"/>
              <w:left w:type="dxa" w:w="160"/>
              <w:bottom w:type="dxa" w:w="110"/>
              <w:right w:type="dxa" w:w="160"/>
            </w:tcMar>
          </w:tcPr>
          <w:p>
            <w:pPr>
              <w:spacing w:after="60" w:before="0"/>
            </w:pPr>
            <w:r>
              <w:rPr>
                <w:rFonts w:ascii="Arial" w:cs="Arial" w:eastAsia="Arial" w:hAnsi="Arial"/>
                <w:b/>
                <w:bCs/>
                <w:color w:val="1A4E6A"/>
                <w:sz w:val="19"/>
                <w:szCs w:val="19"/>
              </w:rPr>
              <w:t xml:space="preserve">The Standard Approach</w:t>
            </w:r>
          </w:p>
          <w:p>
            <w:pPr>
              <w:spacing w:after="0" w:before="0"/>
            </w:pPr>
            <w:r>
              <w:rPr>
                <w:rFonts w:ascii="Arial" w:cs="Arial" w:eastAsia="Arial" w:hAnsi="Arial"/>
                <w:color w:val="2A3C4A"/>
                <w:sz w:val="20"/>
                <w:szCs w:val="20"/>
              </w:rPr>
              <w:t xml:space="preserve">Quality marine insurers offer agreed value as the standard coverage basis for recreational boats. ACV coverage is more common in lower-cost, less comprehensive policies and is generally not recommended for boats with meaningful value.</w:t>
            </w:r>
          </w:p>
        </w:tc>
      </w:tr>
    </w:tbl>
    <w:p>
      <w:pPr>
        <w:spacing w:after="0" w:before="10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600"/>
        <w:gridCol w:w="2200"/>
        <w:gridCol w:w="2300"/>
        <w:gridCol w:w="2260"/>
      </w:tblGrid>
      <w:tr>
        <w:tc>
          <w:tcPr>
            <w:tcW w:type="dxa" w:w="2600"/>
            <w:tcBorders>
              <w:top w:val="none" w:color="FFFFFF" w:sz="0"/>
              <w:left w:val="none" w:color="FFFFFF" w:sz="0"/>
              <w:bottom w:val="none" w:color="FFFFFF" w:sz="0"/>
              <w:right w:val="none" w:color="FFFFFF" w:sz="0"/>
            </w:tcBorders>
            <w:shd w:fill="0A2E4A" w:val="clear"/>
            <w:tcMar>
              <w:top w:type="dxa" w:w="100"/>
              <w:left w:type="dxa" w:w="140"/>
              <w:bottom w:type="dxa" w:w="100"/>
              <w:right w:type="dxa" w:w="140"/>
            </w:tcMar>
          </w:tcPr>
          <w:p>
            <w:pPr>
              <w:spacing w:after="0" w:before="0"/>
            </w:pPr>
            <w:r>
              <w:rPr>
                <w:rFonts w:ascii="Arial" w:cs="Arial" w:eastAsia="Arial" w:hAnsi="Arial"/>
                <w:b/>
                <w:bCs/>
                <w:color w:val="FFFFFF"/>
                <w:sz w:val="19"/>
                <w:szCs w:val="19"/>
              </w:rPr>
              <w:t xml:space="preserve">Scenario</w:t>
            </w:r>
          </w:p>
        </w:tc>
        <w:tc>
          <w:tcPr>
            <w:tcW w:type="dxa" w:w="2200"/>
            <w:tcBorders>
              <w:top w:val="none" w:color="FFFFFF" w:sz="0"/>
              <w:left w:val="none" w:color="FFFFFF" w:sz="0"/>
              <w:bottom w:val="none" w:color="FFFFFF" w:sz="0"/>
              <w:right w:val="none" w:color="FFFFFF" w:sz="0"/>
            </w:tcBorders>
            <w:shd w:fill="0A2E4A" w:val="clear"/>
            <w:tcMar>
              <w:top w:type="dxa" w:w="100"/>
              <w:left w:type="dxa" w:w="140"/>
              <w:bottom w:type="dxa" w:w="100"/>
              <w:right w:type="dxa" w:w="140"/>
            </w:tcMar>
          </w:tcPr>
          <w:p>
            <w:pPr>
              <w:spacing w:after="0" w:before="0"/>
            </w:pPr>
            <w:r>
              <w:rPr>
                <w:rFonts w:ascii="Arial" w:cs="Arial" w:eastAsia="Arial" w:hAnsi="Arial"/>
                <w:b/>
                <w:bCs/>
                <w:color w:val="FFFFFF"/>
                <w:sz w:val="19"/>
                <w:szCs w:val="19"/>
              </w:rPr>
              <w:t xml:space="preserve">Insured Value</w:t>
            </w:r>
          </w:p>
        </w:tc>
        <w:tc>
          <w:tcPr>
            <w:tcW w:type="dxa" w:w="2300"/>
            <w:tcBorders>
              <w:top w:val="none" w:color="FFFFFF" w:sz="0"/>
              <w:left w:val="none" w:color="FFFFFF" w:sz="0"/>
              <w:bottom w:val="none" w:color="FFFFFF" w:sz="0"/>
              <w:right w:val="none" w:color="FFFFFF" w:sz="0"/>
            </w:tcBorders>
            <w:shd w:fill="0A2E4A" w:val="clear"/>
            <w:tcMar>
              <w:top w:type="dxa" w:w="100"/>
              <w:left w:type="dxa" w:w="140"/>
              <w:bottom w:type="dxa" w:w="100"/>
              <w:right w:type="dxa" w:w="140"/>
            </w:tcMar>
          </w:tcPr>
          <w:p>
            <w:pPr>
              <w:spacing w:after="0" w:before="0"/>
            </w:pPr>
            <w:r>
              <w:rPr>
                <w:rFonts w:ascii="Arial" w:cs="Arial" w:eastAsia="Arial" w:hAnsi="Arial"/>
                <w:b/>
                <w:bCs/>
                <w:color w:val="FFFFFF"/>
                <w:sz w:val="19"/>
                <w:szCs w:val="19"/>
              </w:rPr>
              <w:t xml:space="preserve">Settlement Basis</w:t>
            </w:r>
          </w:p>
        </w:tc>
        <w:tc>
          <w:tcPr>
            <w:tcW w:type="dxa" w:w="2260"/>
            <w:tcBorders>
              <w:top w:val="none" w:color="FFFFFF" w:sz="0"/>
              <w:left w:val="none" w:color="FFFFFF" w:sz="0"/>
              <w:bottom w:val="none" w:color="FFFFFF" w:sz="0"/>
              <w:right w:val="none" w:color="FFFFFF" w:sz="0"/>
            </w:tcBorders>
            <w:shd w:fill="0A2E4A" w:val="clear"/>
            <w:tcMar>
              <w:top w:type="dxa" w:w="100"/>
              <w:left w:type="dxa" w:w="140"/>
              <w:bottom w:type="dxa" w:w="100"/>
              <w:right w:type="dxa" w:w="140"/>
            </w:tcMar>
          </w:tcPr>
          <w:p>
            <w:pPr>
              <w:spacing w:after="0" w:before="0"/>
            </w:pPr>
            <w:r>
              <w:rPr>
                <w:rFonts w:ascii="Arial" w:cs="Arial" w:eastAsia="Arial" w:hAnsi="Arial"/>
                <w:b/>
                <w:bCs/>
                <w:color w:val="FFFFFF"/>
                <w:sz w:val="19"/>
                <w:szCs w:val="19"/>
              </w:rPr>
              <w:t xml:space="preserve">Payout at Total Loss</w:t>
            </w:r>
          </w:p>
        </w:tc>
      </w:tr>
      <w:tr>
        <w:tc>
          <w:tcPr>
            <w:tcW w:type="dxa" w:w="2600"/>
            <w:tcBorders>
              <w:top w:val="single" w:color="A8C0D0" w:sz="1"/>
              <w:left w:val="single" w:color="A8C0D0" w:sz="1"/>
              <w:bottom w:val="single" w:color="A8C0D0" w:sz="1"/>
              <w:right w:val="single" w:color="A8C0D0" w:sz="1"/>
            </w:tcBorders>
            <w:shd w:fill="FFFFFF" w:val="clear"/>
            <w:tcMar>
              <w:top w:type="dxa" w:w="80"/>
              <w:left w:type="dxa" w:w="140"/>
              <w:bottom w:type="dxa" w:w="80"/>
              <w:right w:type="dxa" w:w="140"/>
            </w:tcMar>
          </w:tcPr>
          <w:p>
            <w:pPr>
              <w:spacing w:after="0" w:before="0"/>
            </w:pPr>
            <w:r>
              <w:rPr>
                <w:rFonts w:ascii="Arial" w:cs="Arial" w:eastAsia="Arial" w:hAnsi="Arial"/>
                <w:b/>
                <w:bCs/>
                <w:color w:val="0A1A28"/>
                <w:sz w:val="19"/>
                <w:szCs w:val="19"/>
              </w:rPr>
              <w:t xml:space="preserve">New boat (agreed value)</w:t>
            </w:r>
          </w:p>
        </w:tc>
        <w:tc>
          <w:tcPr>
            <w:tcW w:type="dxa" w:w="2200"/>
            <w:tcBorders>
              <w:top w:val="single" w:color="A8C0D0" w:sz="1"/>
              <w:left w:val="single" w:color="A8C0D0" w:sz="1"/>
              <w:bottom w:val="single" w:color="A8C0D0" w:sz="1"/>
              <w:right w:val="single" w:color="A8C0D0" w:sz="1"/>
            </w:tcBorders>
            <w:shd w:fill="FFFFFF" w:val="clear"/>
            <w:tcMar>
              <w:top w:type="dxa" w:w="80"/>
              <w:left w:type="dxa" w:w="140"/>
              <w:bottom w:type="dxa" w:w="80"/>
              <w:right w:type="dxa" w:w="140"/>
            </w:tcMar>
          </w:tcPr>
          <w:p>
            <w:pPr>
              <w:spacing w:after="0" w:before="0"/>
            </w:pPr>
            <w:r>
              <w:rPr>
                <w:rFonts w:ascii="Arial" w:cs="Arial" w:eastAsia="Arial" w:hAnsi="Arial"/>
                <w:b w:val="false"/>
                <w:bCs w:val="false"/>
                <w:color w:val="2A3C4A"/>
                <w:sz w:val="19"/>
                <w:szCs w:val="19"/>
              </w:rPr>
              <w:t xml:space="preserve">$75,000</w:t>
            </w:r>
          </w:p>
        </w:tc>
        <w:tc>
          <w:tcPr>
            <w:tcW w:type="dxa" w:w="2300"/>
            <w:tcBorders>
              <w:top w:val="single" w:color="A8C0D0" w:sz="1"/>
              <w:left w:val="single" w:color="A8C0D0" w:sz="1"/>
              <w:bottom w:val="single" w:color="A8C0D0" w:sz="1"/>
              <w:right w:val="single" w:color="A8C0D0" w:sz="1"/>
            </w:tcBorders>
            <w:shd w:fill="FFFFFF" w:val="clear"/>
            <w:tcMar>
              <w:top w:type="dxa" w:w="80"/>
              <w:left w:type="dxa" w:w="140"/>
              <w:bottom w:type="dxa" w:w="80"/>
              <w:right w:type="dxa" w:w="140"/>
            </w:tcMar>
          </w:tcPr>
          <w:p>
            <w:pPr>
              <w:spacing w:after="0" w:before="0"/>
            </w:pPr>
            <w:r>
              <w:rPr>
                <w:rFonts w:ascii="Arial" w:cs="Arial" w:eastAsia="Arial" w:hAnsi="Arial"/>
                <w:b w:val="false"/>
                <w:bCs w:val="false"/>
                <w:color w:val="2A3C4A"/>
                <w:sz w:val="19"/>
                <w:szCs w:val="19"/>
              </w:rPr>
              <w:t xml:space="preserve">Agreed value</w:t>
            </w:r>
          </w:p>
        </w:tc>
        <w:tc>
          <w:tcPr>
            <w:tcW w:type="dxa" w:w="2260"/>
            <w:tcBorders>
              <w:top w:val="single" w:color="A8C0D0" w:sz="1"/>
              <w:left w:val="single" w:color="A8C0D0" w:sz="1"/>
              <w:bottom w:val="single" w:color="A8C0D0" w:sz="1"/>
              <w:right w:val="single" w:color="A8C0D0" w:sz="1"/>
            </w:tcBorders>
            <w:shd w:fill="FFFFFF" w:val="clear"/>
            <w:tcMar>
              <w:top w:type="dxa" w:w="80"/>
              <w:left w:type="dxa" w:w="140"/>
              <w:bottom w:type="dxa" w:w="80"/>
              <w:right w:type="dxa" w:w="140"/>
            </w:tcMar>
          </w:tcPr>
          <w:p>
            <w:pPr>
              <w:spacing w:after="0" w:before="0"/>
            </w:pPr>
            <w:r>
              <w:rPr>
                <w:rFonts w:ascii="Arial" w:cs="Arial" w:eastAsia="Arial" w:hAnsi="Arial"/>
                <w:b w:val="false"/>
                <w:bCs w:val="false"/>
                <w:color w:val="2A3C4A"/>
                <w:sz w:val="19"/>
                <w:szCs w:val="19"/>
              </w:rPr>
              <w:t xml:space="preserve">$75,000 paid in full</w:t>
            </w:r>
          </w:p>
        </w:tc>
      </w:tr>
      <w:tr>
        <w:tc>
          <w:tcPr>
            <w:tcW w:type="dxa" w:w="2600"/>
            <w:tcBorders>
              <w:top w:val="single" w:color="A8C0D0" w:sz="1"/>
              <w:left w:val="single" w:color="A8C0D0" w:sz="1"/>
              <w:bottom w:val="single" w:color="A8C0D0" w:sz="1"/>
              <w:right w:val="single" w:color="A8C0D0" w:sz="1"/>
            </w:tcBorders>
            <w:shd w:fill="EBF4F8" w:val="clear"/>
            <w:tcMar>
              <w:top w:type="dxa" w:w="80"/>
              <w:left w:type="dxa" w:w="140"/>
              <w:bottom w:type="dxa" w:w="80"/>
              <w:right w:type="dxa" w:w="140"/>
            </w:tcMar>
          </w:tcPr>
          <w:p>
            <w:pPr>
              <w:spacing w:after="0" w:before="0"/>
            </w:pPr>
            <w:r>
              <w:rPr>
                <w:rFonts w:ascii="Arial" w:cs="Arial" w:eastAsia="Arial" w:hAnsi="Arial"/>
                <w:b/>
                <w:bCs/>
                <w:color w:val="0A1A28"/>
                <w:sz w:val="19"/>
                <w:szCs w:val="19"/>
              </w:rPr>
              <w:t xml:space="preserve">New boat (ACV)</w:t>
            </w:r>
          </w:p>
        </w:tc>
        <w:tc>
          <w:tcPr>
            <w:tcW w:type="dxa" w:w="2200"/>
            <w:tcBorders>
              <w:top w:val="single" w:color="A8C0D0" w:sz="1"/>
              <w:left w:val="single" w:color="A8C0D0" w:sz="1"/>
              <w:bottom w:val="single" w:color="A8C0D0" w:sz="1"/>
              <w:right w:val="single" w:color="A8C0D0" w:sz="1"/>
            </w:tcBorders>
            <w:shd w:fill="EBF4F8" w:val="clear"/>
            <w:tcMar>
              <w:top w:type="dxa" w:w="80"/>
              <w:left w:type="dxa" w:w="140"/>
              <w:bottom w:type="dxa" w:w="80"/>
              <w:right w:type="dxa" w:w="140"/>
            </w:tcMar>
          </w:tcPr>
          <w:p>
            <w:pPr>
              <w:spacing w:after="0" w:before="0"/>
            </w:pPr>
            <w:r>
              <w:rPr>
                <w:rFonts w:ascii="Arial" w:cs="Arial" w:eastAsia="Arial" w:hAnsi="Arial"/>
                <w:b w:val="false"/>
                <w:bCs w:val="false"/>
                <w:color w:val="2A3C4A"/>
                <w:sz w:val="19"/>
                <w:szCs w:val="19"/>
              </w:rPr>
              <w:t xml:space="preserve">$75,000</w:t>
            </w:r>
          </w:p>
        </w:tc>
        <w:tc>
          <w:tcPr>
            <w:tcW w:type="dxa" w:w="2300"/>
            <w:tcBorders>
              <w:top w:val="single" w:color="A8C0D0" w:sz="1"/>
              <w:left w:val="single" w:color="A8C0D0" w:sz="1"/>
              <w:bottom w:val="single" w:color="A8C0D0" w:sz="1"/>
              <w:right w:val="single" w:color="A8C0D0" w:sz="1"/>
            </w:tcBorders>
            <w:shd w:fill="EBF4F8" w:val="clear"/>
            <w:tcMar>
              <w:top w:type="dxa" w:w="80"/>
              <w:left w:type="dxa" w:w="140"/>
              <w:bottom w:type="dxa" w:w="80"/>
              <w:right w:type="dxa" w:w="140"/>
            </w:tcMar>
          </w:tcPr>
          <w:p>
            <w:pPr>
              <w:spacing w:after="0" w:before="0"/>
            </w:pPr>
            <w:r>
              <w:rPr>
                <w:rFonts w:ascii="Arial" w:cs="Arial" w:eastAsia="Arial" w:hAnsi="Arial"/>
                <w:b w:val="false"/>
                <w:bCs w:val="false"/>
                <w:color w:val="2A3C4A"/>
                <w:sz w:val="19"/>
                <w:szCs w:val="19"/>
              </w:rPr>
              <w:t xml:space="preserve">Actual cash value</w:t>
            </w:r>
          </w:p>
        </w:tc>
        <w:tc>
          <w:tcPr>
            <w:tcW w:type="dxa" w:w="2260"/>
            <w:tcBorders>
              <w:top w:val="single" w:color="A8C0D0" w:sz="1"/>
              <w:left w:val="single" w:color="A8C0D0" w:sz="1"/>
              <w:bottom w:val="single" w:color="A8C0D0" w:sz="1"/>
              <w:right w:val="single" w:color="A8C0D0" w:sz="1"/>
            </w:tcBorders>
            <w:shd w:fill="EBF4F8" w:val="clear"/>
            <w:tcMar>
              <w:top w:type="dxa" w:w="80"/>
              <w:left w:type="dxa" w:w="140"/>
              <w:bottom w:type="dxa" w:w="80"/>
              <w:right w:type="dxa" w:w="140"/>
            </w:tcMar>
          </w:tcPr>
          <w:p>
            <w:pPr>
              <w:spacing w:after="0" w:before="0"/>
            </w:pPr>
            <w:r>
              <w:rPr>
                <w:rFonts w:ascii="Arial" w:cs="Arial" w:eastAsia="Arial" w:hAnsi="Arial"/>
                <w:b w:val="false"/>
                <w:bCs w:val="false"/>
                <w:color w:val="2A3C4A"/>
                <w:sz w:val="19"/>
                <w:szCs w:val="19"/>
              </w:rPr>
              <w:t xml:space="preserve">$60,000–$65,000 after depreciation</w:t>
            </w:r>
          </w:p>
        </w:tc>
      </w:tr>
      <w:tr>
        <w:tc>
          <w:tcPr>
            <w:tcW w:type="dxa" w:w="2600"/>
            <w:tcBorders>
              <w:top w:val="single" w:color="A8C0D0" w:sz="1"/>
              <w:left w:val="single" w:color="A8C0D0" w:sz="1"/>
              <w:bottom w:val="single" w:color="A8C0D0" w:sz="1"/>
              <w:right w:val="single" w:color="A8C0D0" w:sz="1"/>
            </w:tcBorders>
            <w:shd w:fill="FFFFFF" w:val="clear"/>
            <w:tcMar>
              <w:top w:type="dxa" w:w="80"/>
              <w:left w:type="dxa" w:w="140"/>
              <w:bottom w:type="dxa" w:w="80"/>
              <w:right w:type="dxa" w:w="140"/>
            </w:tcMar>
          </w:tcPr>
          <w:p>
            <w:pPr>
              <w:spacing w:after="0" w:before="0"/>
            </w:pPr>
            <w:r>
              <w:rPr>
                <w:rFonts w:ascii="Arial" w:cs="Arial" w:eastAsia="Arial" w:hAnsi="Arial"/>
                <w:b/>
                <w:bCs/>
                <w:color w:val="0A1A28"/>
                <w:sz w:val="19"/>
                <w:szCs w:val="19"/>
              </w:rPr>
              <w:t xml:space="preserve">5-year-old boat (agreed)</w:t>
            </w:r>
          </w:p>
        </w:tc>
        <w:tc>
          <w:tcPr>
            <w:tcW w:type="dxa" w:w="2200"/>
            <w:tcBorders>
              <w:top w:val="single" w:color="A8C0D0" w:sz="1"/>
              <w:left w:val="single" w:color="A8C0D0" w:sz="1"/>
              <w:bottom w:val="single" w:color="A8C0D0" w:sz="1"/>
              <w:right w:val="single" w:color="A8C0D0" w:sz="1"/>
            </w:tcBorders>
            <w:shd w:fill="FFFFFF" w:val="clear"/>
            <w:tcMar>
              <w:top w:type="dxa" w:w="80"/>
              <w:left w:type="dxa" w:w="140"/>
              <w:bottom w:type="dxa" w:w="80"/>
              <w:right w:type="dxa" w:w="140"/>
            </w:tcMar>
          </w:tcPr>
          <w:p>
            <w:pPr>
              <w:spacing w:after="0" w:before="0"/>
            </w:pPr>
            <w:r>
              <w:rPr>
                <w:rFonts w:ascii="Arial" w:cs="Arial" w:eastAsia="Arial" w:hAnsi="Arial"/>
                <w:b w:val="false"/>
                <w:bCs w:val="false"/>
                <w:color w:val="2A3C4A"/>
                <w:sz w:val="19"/>
                <w:szCs w:val="19"/>
              </w:rPr>
              <w:t xml:space="preserve">$55,000</w:t>
            </w:r>
          </w:p>
        </w:tc>
        <w:tc>
          <w:tcPr>
            <w:tcW w:type="dxa" w:w="2300"/>
            <w:tcBorders>
              <w:top w:val="single" w:color="A8C0D0" w:sz="1"/>
              <w:left w:val="single" w:color="A8C0D0" w:sz="1"/>
              <w:bottom w:val="single" w:color="A8C0D0" w:sz="1"/>
              <w:right w:val="single" w:color="A8C0D0" w:sz="1"/>
            </w:tcBorders>
            <w:shd w:fill="FFFFFF" w:val="clear"/>
            <w:tcMar>
              <w:top w:type="dxa" w:w="80"/>
              <w:left w:type="dxa" w:w="140"/>
              <w:bottom w:type="dxa" w:w="80"/>
              <w:right w:type="dxa" w:w="140"/>
            </w:tcMar>
          </w:tcPr>
          <w:p>
            <w:pPr>
              <w:spacing w:after="0" w:before="0"/>
            </w:pPr>
            <w:r>
              <w:rPr>
                <w:rFonts w:ascii="Arial" w:cs="Arial" w:eastAsia="Arial" w:hAnsi="Arial"/>
                <w:b w:val="false"/>
                <w:bCs w:val="false"/>
                <w:color w:val="2A3C4A"/>
                <w:sz w:val="19"/>
                <w:szCs w:val="19"/>
              </w:rPr>
              <w:t xml:space="preserve">Agreed value</w:t>
            </w:r>
          </w:p>
        </w:tc>
        <w:tc>
          <w:tcPr>
            <w:tcW w:type="dxa" w:w="2260"/>
            <w:tcBorders>
              <w:top w:val="single" w:color="A8C0D0" w:sz="1"/>
              <w:left w:val="single" w:color="A8C0D0" w:sz="1"/>
              <w:bottom w:val="single" w:color="A8C0D0" w:sz="1"/>
              <w:right w:val="single" w:color="A8C0D0" w:sz="1"/>
            </w:tcBorders>
            <w:shd w:fill="FFFFFF" w:val="clear"/>
            <w:tcMar>
              <w:top w:type="dxa" w:w="80"/>
              <w:left w:type="dxa" w:w="140"/>
              <w:bottom w:type="dxa" w:w="80"/>
              <w:right w:type="dxa" w:w="140"/>
            </w:tcMar>
          </w:tcPr>
          <w:p>
            <w:pPr>
              <w:spacing w:after="0" w:before="0"/>
            </w:pPr>
            <w:r>
              <w:rPr>
                <w:rFonts w:ascii="Arial" w:cs="Arial" w:eastAsia="Arial" w:hAnsi="Arial"/>
                <w:b w:val="false"/>
                <w:bCs w:val="false"/>
                <w:color w:val="2A3C4A"/>
                <w:sz w:val="19"/>
                <w:szCs w:val="19"/>
              </w:rPr>
              <w:t xml:space="preserve">$55,000 paid in full</w:t>
            </w:r>
          </w:p>
        </w:tc>
      </w:tr>
      <w:tr>
        <w:tc>
          <w:tcPr>
            <w:tcW w:type="dxa" w:w="2600"/>
            <w:tcBorders>
              <w:top w:val="single" w:color="A8C0D0" w:sz="1"/>
              <w:left w:val="single" w:color="A8C0D0" w:sz="1"/>
              <w:bottom w:val="single" w:color="A8C0D0" w:sz="1"/>
              <w:right w:val="single" w:color="A8C0D0" w:sz="1"/>
            </w:tcBorders>
            <w:shd w:fill="EBF4F8" w:val="clear"/>
            <w:tcMar>
              <w:top w:type="dxa" w:w="80"/>
              <w:left w:type="dxa" w:w="140"/>
              <w:bottom w:type="dxa" w:w="80"/>
              <w:right w:type="dxa" w:w="140"/>
            </w:tcMar>
          </w:tcPr>
          <w:p>
            <w:pPr>
              <w:spacing w:after="0" w:before="0"/>
            </w:pPr>
            <w:r>
              <w:rPr>
                <w:rFonts w:ascii="Arial" w:cs="Arial" w:eastAsia="Arial" w:hAnsi="Arial"/>
                <w:b/>
                <w:bCs/>
                <w:color w:val="0A1A28"/>
                <w:sz w:val="19"/>
                <w:szCs w:val="19"/>
              </w:rPr>
              <w:t xml:space="preserve">5-year-old boat (ACV)</w:t>
            </w:r>
          </w:p>
        </w:tc>
        <w:tc>
          <w:tcPr>
            <w:tcW w:type="dxa" w:w="2200"/>
            <w:tcBorders>
              <w:top w:val="single" w:color="A8C0D0" w:sz="1"/>
              <w:left w:val="single" w:color="A8C0D0" w:sz="1"/>
              <w:bottom w:val="single" w:color="A8C0D0" w:sz="1"/>
              <w:right w:val="single" w:color="A8C0D0" w:sz="1"/>
            </w:tcBorders>
            <w:shd w:fill="EBF4F8" w:val="clear"/>
            <w:tcMar>
              <w:top w:type="dxa" w:w="80"/>
              <w:left w:type="dxa" w:w="140"/>
              <w:bottom w:type="dxa" w:w="80"/>
              <w:right w:type="dxa" w:w="140"/>
            </w:tcMar>
          </w:tcPr>
          <w:p>
            <w:pPr>
              <w:spacing w:after="0" w:before="0"/>
            </w:pPr>
            <w:r>
              <w:rPr>
                <w:rFonts w:ascii="Arial" w:cs="Arial" w:eastAsia="Arial" w:hAnsi="Arial"/>
                <w:b w:val="false"/>
                <w:bCs w:val="false"/>
                <w:color w:val="2A3C4A"/>
                <w:sz w:val="19"/>
                <w:szCs w:val="19"/>
              </w:rPr>
              <w:t xml:space="preserve">$55,000</w:t>
            </w:r>
          </w:p>
        </w:tc>
        <w:tc>
          <w:tcPr>
            <w:tcW w:type="dxa" w:w="2300"/>
            <w:tcBorders>
              <w:top w:val="single" w:color="A8C0D0" w:sz="1"/>
              <w:left w:val="single" w:color="A8C0D0" w:sz="1"/>
              <w:bottom w:val="single" w:color="A8C0D0" w:sz="1"/>
              <w:right w:val="single" w:color="A8C0D0" w:sz="1"/>
            </w:tcBorders>
            <w:shd w:fill="EBF4F8" w:val="clear"/>
            <w:tcMar>
              <w:top w:type="dxa" w:w="80"/>
              <w:left w:type="dxa" w:w="140"/>
              <w:bottom w:type="dxa" w:w="80"/>
              <w:right w:type="dxa" w:w="140"/>
            </w:tcMar>
          </w:tcPr>
          <w:p>
            <w:pPr>
              <w:spacing w:after="0" w:before="0"/>
            </w:pPr>
            <w:r>
              <w:rPr>
                <w:rFonts w:ascii="Arial" w:cs="Arial" w:eastAsia="Arial" w:hAnsi="Arial"/>
                <w:b w:val="false"/>
                <w:bCs w:val="false"/>
                <w:color w:val="2A3C4A"/>
                <w:sz w:val="19"/>
                <w:szCs w:val="19"/>
              </w:rPr>
              <w:t xml:space="preserve">Actual cash value</w:t>
            </w:r>
          </w:p>
        </w:tc>
        <w:tc>
          <w:tcPr>
            <w:tcW w:type="dxa" w:w="2260"/>
            <w:tcBorders>
              <w:top w:val="single" w:color="A8C0D0" w:sz="1"/>
              <w:left w:val="single" w:color="A8C0D0" w:sz="1"/>
              <w:bottom w:val="single" w:color="A8C0D0" w:sz="1"/>
              <w:right w:val="single" w:color="A8C0D0" w:sz="1"/>
            </w:tcBorders>
            <w:shd w:fill="EBF4F8" w:val="clear"/>
            <w:tcMar>
              <w:top w:type="dxa" w:w="80"/>
              <w:left w:type="dxa" w:w="140"/>
              <w:bottom w:type="dxa" w:w="80"/>
              <w:right w:type="dxa" w:w="140"/>
            </w:tcMar>
          </w:tcPr>
          <w:p>
            <w:pPr>
              <w:spacing w:after="0" w:before="0"/>
            </w:pPr>
            <w:r>
              <w:rPr>
                <w:rFonts w:ascii="Arial" w:cs="Arial" w:eastAsia="Arial" w:hAnsi="Arial"/>
                <w:b w:val="false"/>
                <w:bCs w:val="false"/>
                <w:color w:val="2A3C4A"/>
                <w:sz w:val="19"/>
                <w:szCs w:val="19"/>
              </w:rPr>
              <w:t xml:space="preserve">$38,000–$45,000 after depreciation</w:t>
            </w:r>
          </w:p>
        </w:tc>
      </w:tr>
      <w:tr>
        <w:tc>
          <w:tcPr>
            <w:tcW w:type="dxa" w:w="2600"/>
            <w:tcBorders>
              <w:top w:val="single" w:color="A8C0D0" w:sz="1"/>
              <w:left w:val="single" w:color="A8C0D0" w:sz="1"/>
              <w:bottom w:val="single" w:color="A8C0D0" w:sz="1"/>
              <w:right w:val="single" w:color="A8C0D0" w:sz="1"/>
            </w:tcBorders>
            <w:shd w:fill="FFFFFF" w:val="clear"/>
            <w:tcMar>
              <w:top w:type="dxa" w:w="80"/>
              <w:left w:type="dxa" w:w="140"/>
              <w:bottom w:type="dxa" w:w="80"/>
              <w:right w:type="dxa" w:w="140"/>
            </w:tcMar>
          </w:tcPr>
          <w:p>
            <w:pPr>
              <w:spacing w:after="0" w:before="0"/>
            </w:pPr>
            <w:r>
              <w:rPr>
                <w:rFonts w:ascii="Arial" w:cs="Arial" w:eastAsia="Arial" w:hAnsi="Arial"/>
                <w:b/>
                <w:bCs/>
                <w:color w:val="0A1A28"/>
                <w:sz w:val="19"/>
                <w:szCs w:val="19"/>
              </w:rPr>
              <w:t xml:space="preserve">10-year-old boat (agreed)</w:t>
            </w:r>
          </w:p>
        </w:tc>
        <w:tc>
          <w:tcPr>
            <w:tcW w:type="dxa" w:w="2200"/>
            <w:tcBorders>
              <w:top w:val="single" w:color="A8C0D0" w:sz="1"/>
              <w:left w:val="single" w:color="A8C0D0" w:sz="1"/>
              <w:bottom w:val="single" w:color="A8C0D0" w:sz="1"/>
              <w:right w:val="single" w:color="A8C0D0" w:sz="1"/>
            </w:tcBorders>
            <w:shd w:fill="FFFFFF" w:val="clear"/>
            <w:tcMar>
              <w:top w:type="dxa" w:w="80"/>
              <w:left w:type="dxa" w:w="140"/>
              <w:bottom w:type="dxa" w:w="80"/>
              <w:right w:type="dxa" w:w="140"/>
            </w:tcMar>
          </w:tcPr>
          <w:p>
            <w:pPr>
              <w:spacing w:after="0" w:before="0"/>
            </w:pPr>
            <w:r>
              <w:rPr>
                <w:rFonts w:ascii="Arial" w:cs="Arial" w:eastAsia="Arial" w:hAnsi="Arial"/>
                <w:b w:val="false"/>
                <w:bCs w:val="false"/>
                <w:color w:val="2A3C4A"/>
                <w:sz w:val="19"/>
                <w:szCs w:val="19"/>
              </w:rPr>
              <w:t xml:space="preserve">$40,000</w:t>
            </w:r>
          </w:p>
        </w:tc>
        <w:tc>
          <w:tcPr>
            <w:tcW w:type="dxa" w:w="2300"/>
            <w:tcBorders>
              <w:top w:val="single" w:color="A8C0D0" w:sz="1"/>
              <w:left w:val="single" w:color="A8C0D0" w:sz="1"/>
              <w:bottom w:val="single" w:color="A8C0D0" w:sz="1"/>
              <w:right w:val="single" w:color="A8C0D0" w:sz="1"/>
            </w:tcBorders>
            <w:shd w:fill="FFFFFF" w:val="clear"/>
            <w:tcMar>
              <w:top w:type="dxa" w:w="80"/>
              <w:left w:type="dxa" w:w="140"/>
              <w:bottom w:type="dxa" w:w="80"/>
              <w:right w:type="dxa" w:w="140"/>
            </w:tcMar>
          </w:tcPr>
          <w:p>
            <w:pPr>
              <w:spacing w:after="0" w:before="0"/>
            </w:pPr>
            <w:r>
              <w:rPr>
                <w:rFonts w:ascii="Arial" w:cs="Arial" w:eastAsia="Arial" w:hAnsi="Arial"/>
                <w:b w:val="false"/>
                <w:bCs w:val="false"/>
                <w:color w:val="2A3C4A"/>
                <w:sz w:val="19"/>
                <w:szCs w:val="19"/>
              </w:rPr>
              <w:t xml:space="preserve">Agreed value</w:t>
            </w:r>
          </w:p>
        </w:tc>
        <w:tc>
          <w:tcPr>
            <w:tcW w:type="dxa" w:w="2260"/>
            <w:tcBorders>
              <w:top w:val="single" w:color="A8C0D0" w:sz="1"/>
              <w:left w:val="single" w:color="A8C0D0" w:sz="1"/>
              <w:bottom w:val="single" w:color="A8C0D0" w:sz="1"/>
              <w:right w:val="single" w:color="A8C0D0" w:sz="1"/>
            </w:tcBorders>
            <w:shd w:fill="FFFFFF" w:val="clear"/>
            <w:tcMar>
              <w:top w:type="dxa" w:w="80"/>
              <w:left w:type="dxa" w:w="140"/>
              <w:bottom w:type="dxa" w:w="80"/>
              <w:right w:type="dxa" w:w="140"/>
            </w:tcMar>
          </w:tcPr>
          <w:p>
            <w:pPr>
              <w:spacing w:after="0" w:before="0"/>
            </w:pPr>
            <w:r>
              <w:rPr>
                <w:rFonts w:ascii="Arial" w:cs="Arial" w:eastAsia="Arial" w:hAnsi="Arial"/>
                <w:b w:val="false"/>
                <w:bCs w:val="false"/>
                <w:color w:val="2A3C4A"/>
                <w:sz w:val="19"/>
                <w:szCs w:val="19"/>
              </w:rPr>
              <w:t xml:space="preserve">$40,000 paid in full</w:t>
            </w:r>
          </w:p>
        </w:tc>
      </w:tr>
      <w:tr>
        <w:tc>
          <w:tcPr>
            <w:tcW w:type="dxa" w:w="2600"/>
            <w:tcBorders>
              <w:top w:val="single" w:color="A8C0D0" w:sz="1"/>
              <w:left w:val="single" w:color="A8C0D0" w:sz="1"/>
              <w:bottom w:val="single" w:color="A8C0D0" w:sz="1"/>
              <w:right w:val="single" w:color="A8C0D0" w:sz="1"/>
            </w:tcBorders>
            <w:shd w:fill="EBF4F8" w:val="clear"/>
            <w:tcMar>
              <w:top w:type="dxa" w:w="80"/>
              <w:left w:type="dxa" w:w="140"/>
              <w:bottom w:type="dxa" w:w="80"/>
              <w:right w:type="dxa" w:w="140"/>
            </w:tcMar>
          </w:tcPr>
          <w:p>
            <w:pPr>
              <w:spacing w:after="0" w:before="0"/>
            </w:pPr>
            <w:r>
              <w:rPr>
                <w:rFonts w:ascii="Arial" w:cs="Arial" w:eastAsia="Arial" w:hAnsi="Arial"/>
                <w:b/>
                <w:bCs/>
                <w:color w:val="0A1A28"/>
                <w:sz w:val="19"/>
                <w:szCs w:val="19"/>
              </w:rPr>
              <w:t xml:space="preserve">10-year-old boat (ACV)</w:t>
            </w:r>
          </w:p>
        </w:tc>
        <w:tc>
          <w:tcPr>
            <w:tcW w:type="dxa" w:w="2200"/>
            <w:tcBorders>
              <w:top w:val="single" w:color="A8C0D0" w:sz="1"/>
              <w:left w:val="single" w:color="A8C0D0" w:sz="1"/>
              <w:bottom w:val="single" w:color="A8C0D0" w:sz="1"/>
              <w:right w:val="single" w:color="A8C0D0" w:sz="1"/>
            </w:tcBorders>
            <w:shd w:fill="EBF4F8" w:val="clear"/>
            <w:tcMar>
              <w:top w:type="dxa" w:w="80"/>
              <w:left w:type="dxa" w:w="140"/>
              <w:bottom w:type="dxa" w:w="80"/>
              <w:right w:type="dxa" w:w="140"/>
            </w:tcMar>
          </w:tcPr>
          <w:p>
            <w:pPr>
              <w:spacing w:after="0" w:before="0"/>
            </w:pPr>
            <w:r>
              <w:rPr>
                <w:rFonts w:ascii="Arial" w:cs="Arial" w:eastAsia="Arial" w:hAnsi="Arial"/>
                <w:b w:val="false"/>
                <w:bCs w:val="false"/>
                <w:color w:val="2A3C4A"/>
                <w:sz w:val="19"/>
                <w:szCs w:val="19"/>
              </w:rPr>
              <w:t xml:space="preserve">$40,000</w:t>
            </w:r>
          </w:p>
        </w:tc>
        <w:tc>
          <w:tcPr>
            <w:tcW w:type="dxa" w:w="2300"/>
            <w:tcBorders>
              <w:top w:val="single" w:color="A8C0D0" w:sz="1"/>
              <w:left w:val="single" w:color="A8C0D0" w:sz="1"/>
              <w:bottom w:val="single" w:color="A8C0D0" w:sz="1"/>
              <w:right w:val="single" w:color="A8C0D0" w:sz="1"/>
            </w:tcBorders>
            <w:shd w:fill="EBF4F8" w:val="clear"/>
            <w:tcMar>
              <w:top w:type="dxa" w:w="80"/>
              <w:left w:type="dxa" w:w="140"/>
              <w:bottom w:type="dxa" w:w="80"/>
              <w:right w:type="dxa" w:w="140"/>
            </w:tcMar>
          </w:tcPr>
          <w:p>
            <w:pPr>
              <w:spacing w:after="0" w:before="0"/>
            </w:pPr>
            <w:r>
              <w:rPr>
                <w:rFonts w:ascii="Arial" w:cs="Arial" w:eastAsia="Arial" w:hAnsi="Arial"/>
                <w:b w:val="false"/>
                <w:bCs w:val="false"/>
                <w:color w:val="2A3C4A"/>
                <w:sz w:val="19"/>
                <w:szCs w:val="19"/>
              </w:rPr>
              <w:t xml:space="preserve">Actual cash value</w:t>
            </w:r>
          </w:p>
        </w:tc>
        <w:tc>
          <w:tcPr>
            <w:tcW w:type="dxa" w:w="2260"/>
            <w:tcBorders>
              <w:top w:val="single" w:color="A8C0D0" w:sz="1"/>
              <w:left w:val="single" w:color="A8C0D0" w:sz="1"/>
              <w:bottom w:val="single" w:color="A8C0D0" w:sz="1"/>
              <w:right w:val="single" w:color="A8C0D0" w:sz="1"/>
            </w:tcBorders>
            <w:shd w:fill="EBF4F8" w:val="clear"/>
            <w:tcMar>
              <w:top w:type="dxa" w:w="80"/>
              <w:left w:type="dxa" w:w="140"/>
              <w:bottom w:type="dxa" w:w="80"/>
              <w:right w:type="dxa" w:w="140"/>
            </w:tcMar>
          </w:tcPr>
          <w:p>
            <w:pPr>
              <w:spacing w:after="0" w:before="0"/>
            </w:pPr>
            <w:r>
              <w:rPr>
                <w:rFonts w:ascii="Arial" w:cs="Arial" w:eastAsia="Arial" w:hAnsi="Arial"/>
                <w:b w:val="false"/>
                <w:bCs w:val="false"/>
                <w:color w:val="2A3C4A"/>
                <w:sz w:val="19"/>
                <w:szCs w:val="19"/>
              </w:rPr>
              <w:t xml:space="preserve">$22,000–$30,000 after depreciation</w:t>
            </w:r>
          </w:p>
        </w:tc>
      </w:tr>
    </w:tbl>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8B1A1A" w:sz="18"/>
              <w:bottom w:val="none" w:color="FFFFFF" w:sz="0"/>
              <w:right w:val="none" w:color="FFFFFF" w:sz="0"/>
            </w:tcBorders>
            <w:shd w:fill="FDF0F0" w:val="clear"/>
            <w:tcMar>
              <w:top w:type="dxa" w:w="110"/>
              <w:left w:type="dxa" w:w="200"/>
              <w:bottom w:type="dxa" w:w="110"/>
              <w:right w:type="dxa" w:w="160"/>
            </w:tcMar>
          </w:tcPr>
          <w:p>
            <w:pPr>
              <w:spacing w:after="60" w:before="0"/>
            </w:pPr>
            <w:r>
              <w:rPr>
                <w:rFonts w:ascii="Arial" w:cs="Arial" w:eastAsia="Arial" w:hAnsi="Arial"/>
                <w:b/>
                <w:bCs/>
                <w:caps/>
                <w:color w:val="8B1A1A"/>
                <w:sz w:val="19"/>
                <w:szCs w:val="19"/>
              </w:rPr>
              <w:t xml:space="preserve">The ACV Gap Can Be Enormous</w:t>
            </w:r>
          </w:p>
          <w:p>
            <w:pPr>
              <w:spacing w:after="0" w:before="0"/>
            </w:pPr>
            <w:r>
              <w:rPr>
                <w:rFonts w:ascii="Arial" w:cs="Arial" w:eastAsia="Arial" w:hAnsi="Arial"/>
                <w:color w:val="5A1010"/>
                <w:sz w:val="20"/>
                <w:szCs w:val="20"/>
              </w:rPr>
              <w:t xml:space="preserve">On a 10-year-old boat with an original purchase price of $60,000 and an ACV of $25,000, an ACV policy pays $25,000 on a total loss. If the owner owes $30,000 on a marine loan, they will owe the lender $5,000 more than they receive from their insurer — paying for a boat they no longer have. This is why agreed value coverage and loan/lease payoff coverage (gap equivalent) are so important for financed vessels.</w:t>
            </w:r>
          </w:p>
        </w:tc>
      </w:tr>
    </w:tbl>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0D6E8A" w:sz="18"/>
              <w:bottom w:val="none" w:color="FFFFFF" w:sz="0"/>
              <w:right w:val="none" w:color="FFFFFF" w:sz="0"/>
            </w:tcBorders>
            <w:shd w:fill="E8F5F8" w:val="clear"/>
            <w:tcMar>
              <w:top w:type="dxa" w:w="110"/>
              <w:left w:type="dxa" w:w="200"/>
              <w:bottom w:type="dxa" w:w="110"/>
              <w:right w:type="dxa" w:w="160"/>
            </w:tcMar>
          </w:tcPr>
          <w:p>
            <w:pPr>
              <w:spacing w:after="0" w:before="0"/>
            </w:pPr>
            <w:r>
              <w:rPr>
                <w:rFonts w:ascii="Arial" w:cs="Arial" w:eastAsia="Arial" w:hAnsi="Arial"/>
                <w:b/>
                <w:bCs/>
                <w:color w:val="1A4E6A"/>
                <w:sz w:val="20"/>
                <w:szCs w:val="20"/>
              </w:rPr>
              <w:t xml:space="preserve">Key Takeaway: </w:t>
            </w:r>
            <w:r>
              <w:rPr>
                <w:rFonts w:ascii="Arial" w:cs="Arial" w:eastAsia="Arial" w:hAnsi="Arial"/>
                <w:color w:val="2A3C4A"/>
                <w:sz w:val="20"/>
                <w:szCs w:val="20"/>
              </w:rPr>
              <w:t xml:space="preserve">Always choose agreed value coverage for any boat with meaningful value. The premium difference between agreed value and ACV policies is typically modest, but the financial protection difference at claim time can be enormous. If your carrier only offers ACV, shop for a better policy.</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0A2E4A" w:val="clear"/>
            <w:tcMar>
              <w:top w:type="dxa" w:w="160"/>
              <w:left w:type="dxa" w:w="240"/>
              <w:bottom w:type="dxa" w:w="160"/>
              <w:right w:type="dxa" w:w="240"/>
            </w:tcMar>
          </w:tcPr>
          <w:p>
            <w:pPr>
              <w:spacing w:after="0" w:before="0"/>
            </w:pPr>
            <w:r>
              <w:rPr>
                <w:rFonts w:ascii="Arial" w:cs="Arial" w:eastAsia="Arial" w:hAnsi="Arial"/>
                <w:b/>
                <w:bCs/>
                <w:color w:val="A8D4E0"/>
                <w:sz w:val="28"/>
                <w:szCs w:val="28"/>
              </w:rPr>
              <w:t xml:space="preserve">8.  </w:t>
            </w:r>
            <w:r>
              <w:rPr>
                <w:rFonts w:ascii="Arial" w:cs="Arial" w:eastAsia="Arial" w:hAnsi="Arial"/>
                <w:b/>
                <w:bCs/>
                <w:color w:val="FFFFFF"/>
                <w:sz w:val="28"/>
                <w:szCs w:val="28"/>
              </w:rPr>
              <w:t xml:space="preserve">Replacement Cost Coverage for Boats</w:t>
            </w:r>
          </w:p>
        </w:tc>
      </w:tr>
    </w:tbl>
    <w:p>
      <w:pPr>
        <w:spacing w:after="0" w:before="100"/>
      </w:pPr>
      <w:r>
        <w:rPr>
          <w:rFonts w:ascii="Arial" w:cs="Arial" w:eastAsia="Arial" w:hAnsi="Arial"/>
        </w:rPr>
        <w:t xml:space="preserve"/>
      </w:r>
    </w:p>
    <w:p>
      <w:pPr>
        <w:spacing w:after="110" w:before="80"/>
      </w:pPr>
      <w:r>
        <w:rPr>
          <w:rFonts w:ascii="Arial" w:cs="Arial" w:eastAsia="Arial" w:hAnsi="Arial"/>
          <w:color w:val="0A1A28"/>
          <w:sz w:val="22"/>
          <w:szCs w:val="22"/>
        </w:rPr>
        <w:t xml:space="preserve">Replacement cost coverage for boats pays the full cost to replace a totaled vessel with a new one of like kind and quality — without any deduction for depreciation. It is the most comprehensive valuation approach available in boat insurance and provides the strongest financial protection for boat owners, particularly those with newer vessels.</w:t>
      </w:r>
    </w:p>
    <w:p>
      <w:pPr>
        <w:spacing w:after="0" w:before="100"/>
      </w:pPr>
      <w:r>
        <w:rPr>
          <w:rFonts w:ascii="Arial" w:cs="Arial" w:eastAsia="Arial" w:hAnsi="Arial"/>
        </w:rPr>
        <w:t xml:space="preserve"/>
      </w:r>
    </w:p>
    <w:p>
      <w:pPr>
        <w:pBdr>
          <w:bottom w:val="single" w:color="B0CEDA" w:sz="4" w:space="4"/>
        </w:pBdr>
        <w:spacing w:after="80" w:before="220"/>
      </w:pPr>
      <w:r>
        <w:rPr>
          <w:rFonts w:ascii="Arial" w:cs="Arial" w:eastAsia="Arial" w:hAnsi="Arial"/>
          <w:b/>
          <w:bCs/>
          <w:color w:val="0A2E4A"/>
          <w:sz w:val="24"/>
          <w:szCs w:val="24"/>
        </w:rPr>
        <w:t xml:space="preserve">How Replacement Cost Works for Boats</w:t>
      </w:r>
    </w:p>
    <w:p>
      <w:pPr>
        <w:spacing w:after="110" w:before="80"/>
      </w:pPr>
      <w:r>
        <w:rPr>
          <w:rFonts w:ascii="Arial" w:cs="Arial" w:eastAsia="Arial" w:hAnsi="Arial"/>
          <w:color w:val="0A1A28"/>
          <w:sz w:val="22"/>
          <w:szCs w:val="22"/>
        </w:rPr>
        <w:t xml:space="preserve">Under a replacement cost policy, if the insured vessel is declared a total loss, the insurer pays the full current retail cost of a new replacement vessel of comparable make, model, and specifications. This means even a three-year-old boat that has depreciated significantly is replaced at new retail pricing — eliminating the depreciation gap entirely.</w:t>
      </w:r>
    </w:p>
    <w:p>
      <w:pPr>
        <w:spacing w:after="0" w:before="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20"/>
        <w:gridCol w:w="4620"/>
      </w:tblGrid>
      <w:tr>
        <w:tc>
          <w:tcPr>
            <w:tcW w:type="dxa" w:w="4620"/>
            <w:tcBorders>
              <w:top w:val="single" w:color="A8C0D0" w:sz="1"/>
              <w:left w:val="single" w:color="A8C0D0" w:sz="1"/>
              <w:bottom w:val="single" w:color="A8C0D0" w:sz="1"/>
              <w:right w:val="single" w:color="A8C0D0" w:sz="1"/>
            </w:tcBorders>
            <w:shd w:fill="EBF4F8" w:val="clear"/>
            <w:tcMar>
              <w:top w:type="dxa" w:w="110"/>
              <w:left w:type="dxa" w:w="160"/>
              <w:bottom w:type="dxa" w:w="110"/>
              <w:right w:type="dxa" w:w="160"/>
            </w:tcMar>
          </w:tcPr>
          <w:p>
            <w:pPr>
              <w:spacing w:after="60" w:before="0"/>
            </w:pPr>
            <w:r>
              <w:rPr>
                <w:rFonts w:ascii="Arial" w:cs="Arial" w:eastAsia="Arial" w:hAnsi="Arial"/>
                <w:b/>
                <w:bCs/>
                <w:color w:val="1A4E6A"/>
                <w:sz w:val="19"/>
                <w:szCs w:val="19"/>
              </w:rPr>
              <w:t xml:space="preserve">New Boat Replacement Endorsement</w:t>
            </w:r>
          </w:p>
          <w:p>
            <w:pPr>
              <w:spacing w:after="0" w:before="0"/>
            </w:pPr>
            <w:r>
              <w:rPr>
                <w:rFonts w:ascii="Arial" w:cs="Arial" w:eastAsia="Arial" w:hAnsi="Arial"/>
                <w:color w:val="2A3C4A"/>
                <w:sz w:val="20"/>
                <w:szCs w:val="20"/>
              </w:rPr>
              <w:t xml:space="preserve">Many insurers offer a new boat replacement endorsement for newer vessels (typically within the first 3–5 model years). Under this endorsement, if the boat is totaled within the endorsement period, the insurer provides a brand new replacement vessel at no additional depreciation deduction.</w:t>
            </w:r>
          </w:p>
        </w:tc>
        <w:tc>
          <w:tcPr>
            <w:tcW w:type="dxa" w:w="4620"/>
            <w:tcBorders>
              <w:top w:val="single" w:color="A8C0D0" w:sz="1"/>
              <w:left w:val="single" w:color="A8C0D0" w:sz="1"/>
              <w:bottom w:val="single" w:color="A8C0D0" w:sz="1"/>
              <w:right w:val="single" w:color="A8C0D0" w:sz="1"/>
            </w:tcBorders>
            <w:shd w:fill="EBF4F8" w:val="clear"/>
            <w:tcMar>
              <w:top w:type="dxa" w:w="110"/>
              <w:left w:type="dxa" w:w="160"/>
              <w:bottom w:type="dxa" w:w="110"/>
              <w:right w:type="dxa" w:w="160"/>
            </w:tcMar>
          </w:tcPr>
          <w:p>
            <w:pPr>
              <w:spacing w:after="60" w:before="0"/>
            </w:pPr>
            <w:r>
              <w:rPr>
                <w:rFonts w:ascii="Arial" w:cs="Arial" w:eastAsia="Arial" w:hAnsi="Arial"/>
                <w:b/>
                <w:bCs/>
                <w:color w:val="1A4E6A"/>
                <w:sz w:val="19"/>
                <w:szCs w:val="19"/>
              </w:rPr>
              <w:t xml:space="preserve">Replacement Cost vs. Agreed Value</w:t>
            </w:r>
          </w:p>
          <w:p>
            <w:pPr>
              <w:spacing w:after="0" w:before="0"/>
            </w:pPr>
            <w:r>
              <w:rPr>
                <w:rFonts w:ascii="Arial" w:cs="Arial" w:eastAsia="Arial" w:hAnsi="Arial"/>
                <w:color w:val="2A3C4A"/>
                <w:sz w:val="20"/>
                <w:szCs w:val="20"/>
              </w:rPr>
              <w:t xml:space="preserve">Agreed value fixes the insured amount at policy inception; replacement cost is determined at the time of loss based on current market prices. For newer boats, replacement cost may be more protective; for older boats, a carefully set agreed value may be more practical.</w:t>
            </w:r>
          </w:p>
        </w:tc>
      </w:tr>
      <w:tr>
        <w:tc>
          <w:tcPr>
            <w:tcW w:type="dxa" w:w="4620"/>
            <w:tcBorders>
              <w:top w:val="single" w:color="A8C0D0" w:sz="1"/>
              <w:left w:val="single" w:color="A8C0D0" w:sz="1"/>
              <w:bottom w:val="single" w:color="A8C0D0" w:sz="1"/>
              <w:right w:val="single" w:color="A8C0D0" w:sz="1"/>
            </w:tcBorders>
            <w:shd w:fill="EBF4F8" w:val="clear"/>
            <w:tcMar>
              <w:top w:type="dxa" w:w="110"/>
              <w:left w:type="dxa" w:w="160"/>
              <w:bottom w:type="dxa" w:w="110"/>
              <w:right w:type="dxa" w:w="160"/>
            </w:tcMar>
          </w:tcPr>
          <w:p>
            <w:pPr>
              <w:spacing w:after="60" w:before="0"/>
            </w:pPr>
            <w:r>
              <w:rPr>
                <w:rFonts w:ascii="Arial" w:cs="Arial" w:eastAsia="Arial" w:hAnsi="Arial"/>
                <w:b/>
                <w:bCs/>
                <w:color w:val="1A4E6A"/>
                <w:sz w:val="19"/>
                <w:szCs w:val="19"/>
              </w:rPr>
              <w:t xml:space="preserve">Equipment and Accessories</w:t>
            </w:r>
          </w:p>
          <w:p>
            <w:pPr>
              <w:spacing w:after="0" w:before="0"/>
            </w:pPr>
            <w:r>
              <w:rPr>
                <w:rFonts w:ascii="Arial" w:cs="Arial" w:eastAsia="Arial" w:hAnsi="Arial"/>
                <w:color w:val="2A3C4A"/>
                <w:sz w:val="20"/>
                <w:szCs w:val="20"/>
              </w:rPr>
              <w:t xml:space="preserve">Replacement cost coverage typically extends to installed equipment and accessories — fish finders, chart plotters, marine stereos, safety equipment, and other permanently installed items — at replacement cost rather than ACV.</w:t>
            </w:r>
          </w:p>
        </w:tc>
        <w:tc>
          <w:tcPr>
            <w:tcW w:type="dxa" w:w="4620"/>
            <w:tcBorders>
              <w:top w:val="single" w:color="A8C0D0" w:sz="1"/>
              <w:left w:val="single" w:color="A8C0D0" w:sz="1"/>
              <w:bottom w:val="single" w:color="A8C0D0" w:sz="1"/>
              <w:right w:val="single" w:color="A8C0D0" w:sz="1"/>
            </w:tcBorders>
            <w:shd w:fill="EBF4F8" w:val="clear"/>
            <w:tcMar>
              <w:top w:type="dxa" w:w="110"/>
              <w:left w:type="dxa" w:w="160"/>
              <w:bottom w:type="dxa" w:w="110"/>
              <w:right w:type="dxa" w:w="160"/>
            </w:tcMar>
          </w:tcPr>
          <w:p>
            <w:pPr>
              <w:spacing w:after="60" w:before="0"/>
            </w:pPr>
            <w:r>
              <w:rPr>
                <w:rFonts w:ascii="Arial" w:cs="Arial" w:eastAsia="Arial" w:hAnsi="Arial"/>
                <w:b/>
                <w:bCs/>
                <w:color w:val="1A4E6A"/>
                <w:sz w:val="19"/>
                <w:szCs w:val="19"/>
              </w:rPr>
              <w:t xml:space="preserve">Partial Losses</w:t>
            </w:r>
          </w:p>
          <w:p>
            <w:pPr>
              <w:spacing w:after="0" w:before="0"/>
            </w:pPr>
            <w:r>
              <w:rPr>
                <w:rFonts w:ascii="Arial" w:cs="Arial" w:eastAsia="Arial" w:hAnsi="Arial"/>
                <w:color w:val="2A3C4A"/>
                <w:sz w:val="20"/>
                <w:szCs w:val="20"/>
              </w:rPr>
              <w:t xml:space="preserve">For partial losses (damage rather than total loss), replacement cost coverage pays the full cost to repair the damage using new materials and parts without depreciation deductions. ACV partial loss settlements deduct depreciation from repair costs, leaving the owner to pay the difference.</w:t>
            </w:r>
          </w:p>
        </w:tc>
      </w:tr>
    </w:tbl>
    <w:p>
      <w:pPr>
        <w:spacing w:after="0" w:before="100"/>
      </w:pPr>
      <w:r>
        <w:rPr>
          <w:rFonts w:ascii="Arial" w:cs="Arial" w:eastAsia="Arial" w:hAnsi="Arial"/>
        </w:rPr>
        <w:t xml:space="preserve"/>
      </w:r>
    </w:p>
    <w:p>
      <w:pPr>
        <w:pBdr>
          <w:bottom w:val="single" w:color="B0CEDA" w:sz="4" w:space="4"/>
        </w:pBdr>
        <w:spacing w:after="80" w:before="220"/>
      </w:pPr>
      <w:r>
        <w:rPr>
          <w:rFonts w:ascii="Arial" w:cs="Arial" w:eastAsia="Arial" w:hAnsi="Arial"/>
          <w:b/>
          <w:bCs/>
          <w:color w:val="0A2E4A"/>
          <w:sz w:val="24"/>
          <w:szCs w:val="24"/>
        </w:rPr>
        <w:t xml:space="preserve">When Replacement Cost Is Most Valuable</w:t>
      </w:r>
    </w:p>
    <w:p>
      <w:pPr>
        <w:spacing w:after="0" w:before="60"/>
      </w:pPr>
      <w:r>
        <w:rPr>
          <w:rFonts w:ascii="Arial" w:cs="Arial" w:eastAsia="Arial" w:hAnsi="Arial"/>
        </w:rPr>
        <w:t xml:space="preserve"/>
      </w:r>
    </w:p>
    <w:p>
      <w:pPr>
        <w:pStyle w:val="ListParagraph"/>
        <w:numPr>
          <w:ilvl w:val="0"/>
          <w:numId w:val="2"/>
        </w:numPr>
        <w:spacing w:after="60" w:before="60"/>
      </w:pPr>
      <w:r>
        <w:rPr>
          <w:rFonts w:ascii="Arial" w:cs="Arial" w:eastAsia="Arial" w:hAnsi="Arial"/>
          <w:b/>
          <w:bCs/>
          <w:color w:val="0D6E8A"/>
          <w:sz w:val="22"/>
          <w:szCs w:val="22"/>
        </w:rPr>
        <w:t xml:space="preserve">New boat purchases — </w:t>
      </w:r>
      <w:r>
        <w:rPr>
          <w:rFonts w:ascii="Arial" w:cs="Arial" w:eastAsia="Arial" w:hAnsi="Arial"/>
          <w:color w:val="2A3C4A"/>
          <w:sz w:val="22"/>
          <w:szCs w:val="22"/>
        </w:rPr>
        <w:t xml:space="preserve">replacement cost coverage is most valuable for newer vessels where the market value is high and the gap between ACV and replacement cost is most pronounced</w:t>
      </w:r>
    </w:p>
    <w:p>
      <w:pPr>
        <w:pStyle w:val="ListParagraph"/>
        <w:numPr>
          <w:ilvl w:val="0"/>
          <w:numId w:val="2"/>
        </w:numPr>
        <w:spacing w:after="60" w:before="60"/>
      </w:pPr>
      <w:r>
        <w:rPr>
          <w:rFonts w:ascii="Arial" w:cs="Arial" w:eastAsia="Arial" w:hAnsi="Arial"/>
          <w:b/>
          <w:bCs/>
          <w:color w:val="0D6E8A"/>
          <w:sz w:val="22"/>
          <w:szCs w:val="22"/>
        </w:rPr>
        <w:t xml:space="preserve">High-end electronics packages — </w:t>
      </w:r>
      <w:r>
        <w:rPr>
          <w:rFonts w:ascii="Arial" w:cs="Arial" w:eastAsia="Arial" w:hAnsi="Arial"/>
          <w:color w:val="2A3C4A"/>
          <w:sz w:val="22"/>
          <w:szCs w:val="22"/>
        </w:rPr>
        <w:t xml:space="preserve">chart plotters, multifunction displays, autopilots, and marine electronics systems depreciate rapidly but cost a great deal to replace new — replacement cost coverage closes this gap</w:t>
      </w:r>
    </w:p>
    <w:p>
      <w:pPr>
        <w:pStyle w:val="ListParagraph"/>
        <w:numPr>
          <w:ilvl w:val="0"/>
          <w:numId w:val="2"/>
        </w:numPr>
        <w:spacing w:after="60" w:before="60"/>
      </w:pPr>
      <w:r>
        <w:rPr>
          <w:rFonts w:ascii="Arial" w:cs="Arial" w:eastAsia="Arial" w:hAnsi="Arial"/>
          <w:b/>
          <w:bCs/>
          <w:color w:val="0D6E8A"/>
          <w:sz w:val="22"/>
          <w:szCs w:val="22"/>
        </w:rPr>
        <w:t xml:space="preserve">Custom-equipped vessels — </w:t>
      </w:r>
      <w:r>
        <w:rPr>
          <w:rFonts w:ascii="Arial" w:cs="Arial" w:eastAsia="Arial" w:hAnsi="Arial"/>
          <w:color w:val="2A3C4A"/>
          <w:sz w:val="22"/>
          <w:szCs w:val="22"/>
        </w:rPr>
        <w:t xml:space="preserve">boats with custom outfitting, special engine configurations, or specialized fishing or diving equipment benefit significantly from replacement cost coverage on those components</w:t>
      </w:r>
    </w:p>
    <w:p>
      <w:pPr>
        <w:pStyle w:val="ListParagraph"/>
        <w:numPr>
          <w:ilvl w:val="0"/>
          <w:numId w:val="2"/>
        </w:numPr>
        <w:spacing w:after="60" w:before="60"/>
      </w:pPr>
      <w:r>
        <w:rPr>
          <w:rFonts w:ascii="Arial" w:cs="Arial" w:eastAsia="Arial" w:hAnsi="Arial"/>
          <w:b/>
          <w:bCs/>
          <w:color w:val="0D6E8A"/>
          <w:sz w:val="22"/>
          <w:szCs w:val="22"/>
        </w:rPr>
        <w:t xml:space="preserve">Engines and mechanical systems — </w:t>
      </w:r>
      <w:r>
        <w:rPr>
          <w:rFonts w:ascii="Arial" w:cs="Arial" w:eastAsia="Arial" w:hAnsi="Arial"/>
          <w:color w:val="2A3C4A"/>
          <w:sz w:val="22"/>
          <w:szCs w:val="22"/>
        </w:rPr>
        <w:t xml:space="preserve">marine engines and mechanical systems have significant replacement costs; replacement cost coverage ensures repair or replacement at current parts and labor rates</w:t>
      </w:r>
    </w:p>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1A6A5C" w:sz="18"/>
              <w:bottom w:val="none" w:color="FFFFFF" w:sz="0"/>
              <w:right w:val="none" w:color="FFFFFF" w:sz="0"/>
            </w:tcBorders>
            <w:shd w:fill="EAF5F2" w:val="clear"/>
            <w:tcMar>
              <w:top w:type="dxa" w:w="110"/>
              <w:left w:type="dxa" w:w="200"/>
              <w:bottom w:type="dxa" w:w="110"/>
              <w:right w:type="dxa" w:w="160"/>
            </w:tcMar>
          </w:tcPr>
          <w:p>
            <w:pPr>
              <w:spacing w:after="60" w:before="0"/>
            </w:pPr>
            <w:r>
              <w:rPr>
                <w:rFonts w:ascii="Arial" w:cs="Arial" w:eastAsia="Arial" w:hAnsi="Arial"/>
                <w:b/>
                <w:bCs/>
                <w:caps/>
                <w:color w:val="1A6A5C"/>
                <w:sz w:val="19"/>
                <w:szCs w:val="19"/>
              </w:rPr>
              <w:t xml:space="preserve">Replacement Cost in Action</w:t>
            </w:r>
          </w:p>
          <w:p>
            <w:pPr>
              <w:spacing w:after="0" w:before="0"/>
            </w:pPr>
            <w:r>
              <w:rPr>
                <w:rFonts w:ascii="Arial" w:cs="Arial" w:eastAsia="Arial" w:hAnsi="Arial"/>
                <w:color w:val="0A2820"/>
                <w:sz w:val="20"/>
                <w:szCs w:val="20"/>
              </w:rPr>
              <w:t xml:space="preserve">A two-year-old $85,000 center console fishing boat is struck by another vessel and declared a total loss. Under ACV coverage, the insurer pays approximately $65,000–$70,000 after depreciation, leaving the owner with a $15,000–$20,000 gap to replace their boat. Under replacement cost coverage, the insurer pays the full current cost of a comparable new vessel — which may now be $90,000–$95,000 due to price increases — fully replacing the lost vessel.</w:t>
            </w:r>
          </w:p>
        </w:tc>
      </w:tr>
    </w:tbl>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8A6A2E" w:sz="18"/>
              <w:bottom w:val="none" w:color="FFFFFF" w:sz="0"/>
              <w:right w:val="none" w:color="FFFFFF" w:sz="0"/>
            </w:tcBorders>
            <w:shd w:fill="FFF8EC" w:val="clear"/>
            <w:tcMar>
              <w:top w:type="dxa" w:w="110"/>
              <w:left w:type="dxa" w:w="200"/>
              <w:bottom w:type="dxa" w:w="110"/>
              <w:right w:type="dxa" w:w="160"/>
            </w:tcMar>
          </w:tcPr>
          <w:p>
            <w:pPr>
              <w:spacing w:after="60" w:before="0"/>
            </w:pPr>
            <w:r>
              <w:rPr>
                <w:rFonts w:ascii="Arial" w:cs="Arial" w:eastAsia="Arial" w:hAnsi="Arial"/>
                <w:b/>
                <w:bCs/>
                <w:caps/>
                <w:color w:val="8A6A2E"/>
                <w:sz w:val="19"/>
                <w:szCs w:val="19"/>
              </w:rPr>
              <w:t xml:space="preserve">Replacement Cost and Older Vessels</w:t>
            </w:r>
          </w:p>
          <w:p>
            <w:pPr>
              <w:spacing w:after="0" w:before="0"/>
            </w:pPr>
            <w:r>
              <w:rPr>
                <w:rFonts w:ascii="Arial" w:cs="Arial" w:eastAsia="Arial" w:hAnsi="Arial"/>
                <w:color w:val="4A3010"/>
                <w:sz w:val="20"/>
                <w:szCs w:val="20"/>
              </w:rPr>
              <w:t xml:space="preserve">Replacement cost coverage is primarily meaningful for newer or well-maintained vessels. For older boats (10+ years), the “like kind and quality” replacement standard may be difficult to apply if comparable new models are no longer made. Some policies define replacement cost for older vessels as the cost to restore the vessel to its pre-loss condition using new parts rather than the cost of a brand new equivalent vessel.</w:t>
            </w:r>
          </w:p>
        </w:tc>
      </w:tr>
    </w:tbl>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0D6E8A" w:sz="18"/>
              <w:bottom w:val="none" w:color="FFFFFF" w:sz="0"/>
              <w:right w:val="none" w:color="FFFFFF" w:sz="0"/>
            </w:tcBorders>
            <w:shd w:fill="E8F5F8" w:val="clear"/>
            <w:tcMar>
              <w:top w:type="dxa" w:w="110"/>
              <w:left w:type="dxa" w:w="200"/>
              <w:bottom w:type="dxa" w:w="110"/>
              <w:right w:type="dxa" w:w="160"/>
            </w:tcMar>
          </w:tcPr>
          <w:p>
            <w:pPr>
              <w:spacing w:after="0" w:before="0"/>
            </w:pPr>
            <w:r>
              <w:rPr>
                <w:rFonts w:ascii="Arial" w:cs="Arial" w:eastAsia="Arial" w:hAnsi="Arial"/>
                <w:b/>
                <w:bCs/>
                <w:color w:val="1A4E6A"/>
                <w:sz w:val="20"/>
                <w:szCs w:val="20"/>
              </w:rPr>
              <w:t xml:space="preserve">Key Takeaway: </w:t>
            </w:r>
            <w:r>
              <w:rPr>
                <w:rFonts w:ascii="Arial" w:cs="Arial" w:eastAsia="Arial" w:hAnsi="Arial"/>
                <w:color w:val="2A3C4A"/>
                <w:sz w:val="20"/>
                <w:szCs w:val="20"/>
              </w:rPr>
              <w:t xml:space="preserve">For any boat purchased new or recently, replacement cost coverage or a new boat replacement endorsement provides the strongest financial protection. The modest additional premium is a sound investment compared to the potential depreciation gap on a total loss claim.</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0A2E4A" w:val="clear"/>
            <w:tcMar>
              <w:top w:type="dxa" w:w="160"/>
              <w:left w:type="dxa" w:w="240"/>
              <w:bottom w:type="dxa" w:w="160"/>
              <w:right w:type="dxa" w:w="240"/>
            </w:tcMar>
          </w:tcPr>
          <w:p>
            <w:pPr>
              <w:spacing w:after="0" w:before="0"/>
            </w:pPr>
            <w:r>
              <w:rPr>
                <w:rFonts w:ascii="Arial" w:cs="Arial" w:eastAsia="Arial" w:hAnsi="Arial"/>
                <w:b/>
                <w:bCs/>
                <w:color w:val="A8D4E0"/>
                <w:sz w:val="28"/>
                <w:szCs w:val="28"/>
              </w:rPr>
              <w:t xml:space="preserve">9.  </w:t>
            </w:r>
            <w:r>
              <w:rPr>
                <w:rFonts w:ascii="Arial" w:cs="Arial" w:eastAsia="Arial" w:hAnsi="Arial"/>
                <w:b/>
                <w:bCs/>
                <w:color w:val="FFFFFF"/>
                <w:sz w:val="28"/>
                <w:szCs w:val="28"/>
              </w:rPr>
              <w:t xml:space="preserve">Year-Round vs. Seasonal Boat Insurance</w:t>
            </w:r>
          </w:p>
        </w:tc>
      </w:tr>
    </w:tbl>
    <w:p>
      <w:pPr>
        <w:spacing w:after="0" w:before="100"/>
      </w:pPr>
      <w:r>
        <w:rPr>
          <w:rFonts w:ascii="Arial" w:cs="Arial" w:eastAsia="Arial" w:hAnsi="Arial"/>
        </w:rPr>
        <w:t xml:space="preserve"/>
      </w:r>
    </w:p>
    <w:p>
      <w:pPr>
        <w:spacing w:after="110" w:before="80"/>
      </w:pPr>
      <w:r>
        <w:rPr>
          <w:rFonts w:ascii="Arial" w:cs="Arial" w:eastAsia="Arial" w:hAnsi="Arial"/>
          <w:color w:val="0A1A28"/>
          <w:sz w:val="22"/>
          <w:szCs w:val="22"/>
        </w:rPr>
        <w:t xml:space="preserve">Many boat owners use their vessels seasonally — actively boating during warmer months and storing the boat during winter. Boat insurance policies offer meaningful options to align coverage with the actual boating season, potentially reducing costs during storage periods while maintaining essential protection year-round. Understanding these options helps boat owners optimize coverage and cost.</w:t>
      </w:r>
    </w:p>
    <w:p>
      <w:pPr>
        <w:spacing w:after="0" w:before="10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20"/>
        <w:gridCol w:w="4620"/>
      </w:tblGrid>
      <w:tr>
        <w:tc>
          <w:tcPr>
            <w:tcW w:type="dxa" w:w="4620"/>
            <w:tcBorders>
              <w:top w:val="single" w:color="A8C0D0" w:sz="1"/>
              <w:left w:val="single" w:color="A8C0D0" w:sz="1"/>
              <w:bottom w:val="single" w:color="A8C0D0" w:sz="1"/>
              <w:right w:val="single" w:color="A8C0D0" w:sz="1"/>
            </w:tcBorders>
            <w:shd w:fill="EBF4F8" w:val="clear"/>
            <w:tcMar>
              <w:top w:type="dxa" w:w="110"/>
              <w:left w:type="dxa" w:w="160"/>
              <w:bottom w:type="dxa" w:w="110"/>
              <w:right w:type="dxa" w:w="160"/>
            </w:tcMar>
          </w:tcPr>
          <w:p>
            <w:pPr>
              <w:spacing w:after="60" w:before="0"/>
            </w:pPr>
            <w:r>
              <w:rPr>
                <w:rFonts w:ascii="Arial" w:cs="Arial" w:eastAsia="Arial" w:hAnsi="Arial"/>
                <w:b/>
                <w:bCs/>
                <w:color w:val="1A4E6A"/>
                <w:sz w:val="19"/>
                <w:szCs w:val="19"/>
              </w:rPr>
              <w:t xml:space="preserve">Year-Round Coverage</w:t>
            </w:r>
          </w:p>
          <w:p>
            <w:pPr>
              <w:spacing w:after="0" w:before="0"/>
            </w:pPr>
            <w:r>
              <w:rPr>
                <w:rFonts w:ascii="Arial" w:cs="Arial" w:eastAsia="Arial" w:hAnsi="Arial"/>
                <w:color w:val="2A3C4A"/>
                <w:sz w:val="20"/>
                <w:szCs w:val="20"/>
              </w:rPr>
              <w:t xml:space="preserve">A standard boat insurance policy providing continuous full coverage — liability, collision, comprehensive, and all endorsements — throughout the year regardless of whether the boat is in use or in storage. Best for boat owners in warm climates who boat year-round.</w:t>
            </w:r>
          </w:p>
        </w:tc>
        <w:tc>
          <w:tcPr>
            <w:tcW w:type="dxa" w:w="4620"/>
            <w:tcBorders>
              <w:top w:val="single" w:color="A8C0D0" w:sz="1"/>
              <w:left w:val="single" w:color="A8C0D0" w:sz="1"/>
              <w:bottom w:val="single" w:color="A8C0D0" w:sz="1"/>
              <w:right w:val="single" w:color="A8C0D0" w:sz="1"/>
            </w:tcBorders>
            <w:shd w:fill="EBF4F8" w:val="clear"/>
            <w:tcMar>
              <w:top w:type="dxa" w:w="110"/>
              <w:left w:type="dxa" w:w="160"/>
              <w:bottom w:type="dxa" w:w="110"/>
              <w:right w:type="dxa" w:w="160"/>
            </w:tcMar>
          </w:tcPr>
          <w:p>
            <w:pPr>
              <w:spacing w:after="60" w:before="0"/>
            </w:pPr>
            <w:r>
              <w:rPr>
                <w:rFonts w:ascii="Arial" w:cs="Arial" w:eastAsia="Arial" w:hAnsi="Arial"/>
                <w:b/>
                <w:bCs/>
                <w:color w:val="1A4E6A"/>
                <w:sz w:val="19"/>
                <w:szCs w:val="19"/>
              </w:rPr>
              <w:t xml:space="preserve">Seasonal Coverage</w:t>
            </w:r>
          </w:p>
          <w:p>
            <w:pPr>
              <w:spacing w:after="0" w:before="0"/>
            </w:pPr>
            <w:r>
              <w:rPr>
                <w:rFonts w:ascii="Arial" w:cs="Arial" w:eastAsia="Arial" w:hAnsi="Arial"/>
                <w:color w:val="2A3C4A"/>
                <w:sz w:val="20"/>
                <w:szCs w:val="20"/>
              </w:rPr>
              <w:t xml:space="preserve">Policy modifications that reduce or suspend certain coverages during defined off-season storage periods. Liability, collision, and uninsured watercraft coverages can typically be suspended during storage, while comprehensive coverage remains active to protect the stored vessel.</w:t>
            </w:r>
          </w:p>
        </w:tc>
      </w:tr>
      <w:tr>
        <w:tc>
          <w:tcPr>
            <w:tcW w:type="dxa" w:w="4620"/>
            <w:tcBorders>
              <w:top w:val="single" w:color="A8C0D0" w:sz="1"/>
              <w:left w:val="single" w:color="A8C0D0" w:sz="1"/>
              <w:bottom w:val="single" w:color="A8C0D0" w:sz="1"/>
              <w:right w:val="single" w:color="A8C0D0" w:sz="1"/>
            </w:tcBorders>
            <w:shd w:fill="EBF4F8" w:val="clear"/>
            <w:tcMar>
              <w:top w:type="dxa" w:w="110"/>
              <w:left w:type="dxa" w:w="160"/>
              <w:bottom w:type="dxa" w:w="110"/>
              <w:right w:type="dxa" w:w="160"/>
            </w:tcMar>
          </w:tcPr>
          <w:p>
            <w:pPr>
              <w:spacing w:after="60" w:before="0"/>
            </w:pPr>
            <w:r>
              <w:rPr>
                <w:rFonts w:ascii="Arial" w:cs="Arial" w:eastAsia="Arial" w:hAnsi="Arial"/>
                <w:b/>
                <w:bCs/>
                <w:color w:val="1A4E6A"/>
                <w:sz w:val="19"/>
                <w:szCs w:val="19"/>
              </w:rPr>
              <w:t xml:space="preserve">Lay-Up / Storage Period</w:t>
            </w:r>
          </w:p>
          <w:p>
            <w:pPr>
              <w:spacing w:after="0" w:before="0"/>
            </w:pPr>
            <w:r>
              <w:rPr>
                <w:rFonts w:ascii="Arial" w:cs="Arial" w:eastAsia="Arial" w:hAnsi="Arial"/>
                <w:color w:val="2A3C4A"/>
                <w:sz w:val="20"/>
                <w:szCs w:val="20"/>
              </w:rPr>
              <w:t xml:space="preserve">A formally declared period during which the vessel is stored and not operated on public waterways. During a declared lay-up, the boat cannot be used — doing so voids coverage. Premiums for suspended coverages are eliminated for the lay-up period.</w:t>
            </w:r>
          </w:p>
        </w:tc>
        <w:tc>
          <w:tcPr>
            <w:tcW w:type="dxa" w:w="4620"/>
            <w:tcBorders>
              <w:top w:val="single" w:color="A8C0D0" w:sz="1"/>
              <w:left w:val="single" w:color="A8C0D0" w:sz="1"/>
              <w:bottom w:val="single" w:color="A8C0D0" w:sz="1"/>
              <w:right w:val="single" w:color="A8C0D0" w:sz="1"/>
            </w:tcBorders>
            <w:shd w:fill="EBF4F8" w:val="clear"/>
            <w:tcMar>
              <w:top w:type="dxa" w:w="110"/>
              <w:left w:type="dxa" w:w="160"/>
              <w:bottom w:type="dxa" w:w="110"/>
              <w:right w:type="dxa" w:w="160"/>
            </w:tcMar>
          </w:tcPr>
          <w:p>
            <w:pPr>
              <w:spacing w:after="60" w:before="0"/>
            </w:pPr>
            <w:r>
              <w:rPr>
                <w:rFonts w:ascii="Arial" w:cs="Arial" w:eastAsia="Arial" w:hAnsi="Arial"/>
                <w:b/>
                <w:bCs/>
                <w:color w:val="1A4E6A"/>
                <w:sz w:val="19"/>
                <w:szCs w:val="19"/>
              </w:rPr>
              <w:t xml:space="preserve">Storage-Only Coverage</w:t>
            </w:r>
          </w:p>
          <w:p>
            <w:pPr>
              <w:spacing w:after="0" w:before="0"/>
            </w:pPr>
            <w:r>
              <w:rPr>
                <w:rFonts w:ascii="Arial" w:cs="Arial" w:eastAsia="Arial" w:hAnsi="Arial"/>
                <w:color w:val="2A3C4A"/>
                <w:sz w:val="20"/>
                <w:szCs w:val="20"/>
              </w:rPr>
              <w:t xml:space="preserve">The minimum practical coverage for a boat in storage: comprehensive (other than collision) covering theft, fire, storm, vandalism, and other non-collision perils. This is the essential coverage that should never be suspended, even during the longest storage period.</w:t>
            </w:r>
          </w:p>
        </w:tc>
      </w:tr>
    </w:tbl>
    <w:p>
      <w:pPr>
        <w:spacing w:after="0" w:before="100"/>
      </w:pPr>
      <w:r>
        <w:rPr>
          <w:rFonts w:ascii="Arial" w:cs="Arial" w:eastAsia="Arial" w:hAnsi="Arial"/>
        </w:rPr>
        <w:t xml:space="preserve"/>
      </w:r>
    </w:p>
    <w:p>
      <w:pPr>
        <w:pBdr>
          <w:bottom w:val="single" w:color="B0CEDA" w:sz="4" w:space="4"/>
        </w:pBdr>
        <w:spacing w:after="80" w:before="220"/>
      </w:pPr>
      <w:r>
        <w:rPr>
          <w:rFonts w:ascii="Arial" w:cs="Arial" w:eastAsia="Arial" w:hAnsi="Arial"/>
          <w:b/>
          <w:bCs/>
          <w:color w:val="0A2E4A"/>
          <w:sz w:val="24"/>
          <w:szCs w:val="24"/>
        </w:rPr>
        <w:t xml:space="preserve">Seasonal Boating by Region</w:t>
      </w:r>
    </w:p>
    <w:p>
      <w:pPr>
        <w:spacing w:after="0" w:before="60"/>
      </w:pPr>
      <w:r>
        <w:rPr>
          <w:rFonts w:ascii="Arial" w:cs="Arial" w:eastAsia="Arial" w:hAnsi="Arial"/>
        </w:rPr>
        <w:t xml:space="preserve"/>
      </w:r>
    </w:p>
    <w:p>
      <w:pPr>
        <w:pStyle w:val="ListParagraph"/>
        <w:numPr>
          <w:ilvl w:val="0"/>
          <w:numId w:val="2"/>
        </w:numPr>
        <w:spacing w:after="60" w:before="60"/>
      </w:pPr>
      <w:r>
        <w:rPr>
          <w:rFonts w:ascii="Arial" w:cs="Arial" w:eastAsia="Arial" w:hAnsi="Arial"/>
          <w:b/>
          <w:bCs/>
          <w:color w:val="0D6E8A"/>
          <w:sz w:val="22"/>
          <w:szCs w:val="22"/>
        </w:rPr>
        <w:t xml:space="preserve">Northern states (Great Lakes, New England, Pacific Northwest) — </w:t>
      </w:r>
      <w:r>
        <w:rPr>
          <w:rFonts w:ascii="Arial" w:cs="Arial" w:eastAsia="Arial" w:hAnsi="Arial"/>
          <w:color w:val="2A3C4A"/>
          <w:sz w:val="22"/>
          <w:szCs w:val="22"/>
        </w:rPr>
        <w:t xml:space="preserve">boating seasons typically run May through October; 5–6 month storage periods offer meaningful premium savings through seasonal coverage adjustments</w:t>
      </w:r>
    </w:p>
    <w:p>
      <w:pPr>
        <w:pStyle w:val="ListParagraph"/>
        <w:numPr>
          <w:ilvl w:val="0"/>
          <w:numId w:val="2"/>
        </w:numPr>
        <w:spacing w:after="60" w:before="60"/>
      </w:pPr>
      <w:r>
        <w:rPr>
          <w:rFonts w:ascii="Arial" w:cs="Arial" w:eastAsia="Arial" w:hAnsi="Arial"/>
          <w:b/>
          <w:bCs/>
          <w:color w:val="0D6E8A"/>
          <w:sz w:val="22"/>
          <w:szCs w:val="22"/>
        </w:rPr>
        <w:t xml:space="preserve">Mid-Atlantic and Mid-South — </w:t>
      </w:r>
      <w:r>
        <w:rPr>
          <w:rFonts w:ascii="Arial" w:cs="Arial" w:eastAsia="Arial" w:hAnsi="Arial"/>
          <w:color w:val="2A3C4A"/>
          <w:sz w:val="22"/>
          <w:szCs w:val="22"/>
        </w:rPr>
        <w:t xml:space="preserve">extended seasons from April through November in many areas; shorter storage periods may not justify the administrative effort of formal lay-up declarations</w:t>
      </w:r>
    </w:p>
    <w:p>
      <w:pPr>
        <w:pStyle w:val="ListParagraph"/>
        <w:numPr>
          <w:ilvl w:val="0"/>
          <w:numId w:val="2"/>
        </w:numPr>
        <w:spacing w:after="60" w:before="60"/>
      </w:pPr>
      <w:r>
        <w:rPr>
          <w:rFonts w:ascii="Arial" w:cs="Arial" w:eastAsia="Arial" w:hAnsi="Arial"/>
          <w:b/>
          <w:bCs/>
          <w:color w:val="0D6E8A"/>
          <w:sz w:val="22"/>
          <w:szCs w:val="22"/>
        </w:rPr>
        <w:t xml:space="preserve">Southern states (Florida, Gulf Coast, Southern California) — </w:t>
      </w:r>
      <w:r>
        <w:rPr>
          <w:rFonts w:ascii="Arial" w:cs="Arial" w:eastAsia="Arial" w:hAnsi="Arial"/>
          <w:color w:val="2A3C4A"/>
          <w:sz w:val="22"/>
          <w:szCs w:val="22"/>
        </w:rPr>
        <w:t xml:space="preserve">year-round boating in most areas; year-round coverage is standard and seasonal adjustments provide minimal benefit</w:t>
      </w:r>
    </w:p>
    <w:p>
      <w:pPr>
        <w:pStyle w:val="ListParagraph"/>
        <w:numPr>
          <w:ilvl w:val="0"/>
          <w:numId w:val="2"/>
        </w:numPr>
        <w:spacing w:after="60" w:before="60"/>
      </w:pPr>
      <w:r>
        <w:rPr>
          <w:rFonts w:ascii="Arial" w:cs="Arial" w:eastAsia="Arial" w:hAnsi="Arial"/>
          <w:b/>
          <w:bCs/>
          <w:color w:val="0D6E8A"/>
          <w:sz w:val="22"/>
          <w:szCs w:val="22"/>
        </w:rPr>
        <w:t xml:space="preserve">Desert lake regions (Lake Powell, Lake Havasu) — </w:t>
      </w:r>
      <w:r>
        <w:rPr>
          <w:rFonts w:ascii="Arial" w:cs="Arial" w:eastAsia="Arial" w:hAnsi="Arial"/>
          <w:color w:val="2A3C4A"/>
          <w:sz w:val="22"/>
          <w:szCs w:val="22"/>
        </w:rPr>
        <w:t xml:space="preserve">year-round access but extreme summer heat and winter cold create storage needs; coverage should align with actual use patterns</w:t>
      </w:r>
    </w:p>
    <w:p>
      <w:pPr>
        <w:spacing w:after="0" w:before="100"/>
      </w:pPr>
      <w:r>
        <w:rPr>
          <w:rFonts w:ascii="Arial" w:cs="Arial" w:eastAsia="Arial" w:hAnsi="Arial"/>
        </w:rPr>
        <w:t xml:space="preserve"/>
      </w:r>
    </w:p>
    <w:p>
      <w:pPr>
        <w:pBdr>
          <w:bottom w:val="single" w:color="B0CEDA" w:sz="4" w:space="4"/>
        </w:pBdr>
        <w:spacing w:after="80" w:before="220"/>
      </w:pPr>
      <w:r>
        <w:rPr>
          <w:rFonts w:ascii="Arial" w:cs="Arial" w:eastAsia="Arial" w:hAnsi="Arial"/>
          <w:b/>
          <w:bCs/>
          <w:color w:val="0A2E4A"/>
          <w:sz w:val="24"/>
          <w:szCs w:val="24"/>
        </w:rPr>
        <w:t xml:space="preserve">Hurricane and Storm Season Considerations</w:t>
      </w:r>
    </w:p>
    <w:p>
      <w:pPr>
        <w:spacing w:after="110" w:before="80"/>
      </w:pPr>
      <w:r>
        <w:rPr>
          <w:rFonts w:ascii="Arial" w:cs="Arial" w:eastAsia="Arial" w:hAnsi="Arial"/>
          <w:color w:val="0A1A28"/>
          <w:sz w:val="22"/>
          <w:szCs w:val="22"/>
        </w:rPr>
        <w:t xml:space="preserve">Boat owners in hurricane-prone coastal areas face a unique seasonal risk: hurricane season (June 1 through November 30) coincides with peak boating season. Many marine insurers require boat owners in high-risk coastal areas to have a hurricane preparedness plan — a documented procedure for hauling out, securing, or moving the vessel in the event of a named storm. Failure to follow the required hurricane plan can affect coverage for storm damage.</w:t>
      </w:r>
    </w:p>
    <w:p>
      <w:pPr>
        <w:spacing w:after="0" w:before="80"/>
      </w:pPr>
      <w:r>
        <w:rPr>
          <w:rFonts w:ascii="Arial" w:cs="Arial" w:eastAsia="Arial" w:hAnsi="Arial"/>
        </w:rPr>
        <w:t xml:space="preserve"/>
      </w:r>
    </w:p>
    <w:p>
      <w:pPr>
        <w:spacing w:after="110" w:before="80"/>
      </w:pPr>
      <w:r>
        <w:rPr>
          <w:rFonts w:ascii="Arial" w:cs="Arial" w:eastAsia="Arial" w:hAnsi="Arial"/>
          <w:color w:val="0A1A28"/>
          <w:sz w:val="22"/>
          <w:szCs w:val="22"/>
        </w:rPr>
        <w:t xml:space="preserve">Some insurers offer premium discounts for boat owners who commit to hauling out (removing the boat from the water) during hurricane season or who store the vessel in certified storm-resistant facilities. These programs reduce both the insurer’s exposure and the policyholder’s premium.</w:t>
      </w:r>
    </w:p>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8B1A1A" w:sz="18"/>
              <w:bottom w:val="none" w:color="FFFFFF" w:sz="0"/>
              <w:right w:val="none" w:color="FFFFFF" w:sz="0"/>
            </w:tcBorders>
            <w:shd w:fill="FDF0F0" w:val="clear"/>
            <w:tcMar>
              <w:top w:type="dxa" w:w="110"/>
              <w:left w:type="dxa" w:w="200"/>
              <w:bottom w:type="dxa" w:w="110"/>
              <w:right w:type="dxa" w:w="160"/>
            </w:tcMar>
          </w:tcPr>
          <w:p>
            <w:pPr>
              <w:spacing w:after="60" w:before="0"/>
            </w:pPr>
            <w:r>
              <w:rPr>
                <w:rFonts w:ascii="Arial" w:cs="Arial" w:eastAsia="Arial" w:hAnsi="Arial"/>
                <w:b/>
                <w:bCs/>
                <w:caps/>
                <w:color w:val="8B1A1A"/>
                <w:sz w:val="19"/>
                <w:szCs w:val="19"/>
              </w:rPr>
              <w:t xml:space="preserve">Never Suspend Comprehensive During Storage</w:t>
            </w:r>
          </w:p>
          <w:p>
            <w:pPr>
              <w:spacing w:after="0" w:before="0"/>
            </w:pPr>
            <w:r>
              <w:rPr>
                <w:rFonts w:ascii="Arial" w:cs="Arial" w:eastAsia="Arial" w:hAnsi="Arial"/>
                <w:color w:val="5A1010"/>
                <w:sz w:val="20"/>
                <w:szCs w:val="20"/>
              </w:rPr>
              <w:t xml:space="preserve">The most expensive boat insurance losses that occur during storage periods — theft, fire, flooding, storm damage, vandalism — are all covered under comprehensive. Suspending comprehensive to save money during storage eliminates the only coverage that responds to these risks. Comprehensive coverage costs a fraction of total boat insurance premiums and should be maintained without interruption throughout the year.</w:t>
            </w:r>
          </w:p>
        </w:tc>
      </w:tr>
    </w:tbl>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8A6A2E" w:sz="18"/>
              <w:bottom w:val="none" w:color="FFFFFF" w:sz="0"/>
              <w:right w:val="none" w:color="FFFFFF" w:sz="0"/>
            </w:tcBorders>
            <w:shd w:fill="FFF8EC" w:val="clear"/>
            <w:tcMar>
              <w:top w:type="dxa" w:w="110"/>
              <w:left w:type="dxa" w:w="200"/>
              <w:bottom w:type="dxa" w:w="110"/>
              <w:right w:type="dxa" w:w="160"/>
            </w:tcMar>
          </w:tcPr>
          <w:p>
            <w:pPr>
              <w:spacing w:after="60" w:before="0"/>
            </w:pPr>
            <w:r>
              <w:rPr>
                <w:rFonts w:ascii="Arial" w:cs="Arial" w:eastAsia="Arial" w:hAnsi="Arial"/>
                <w:b/>
                <w:bCs/>
                <w:caps/>
                <w:color w:val="8A6A2E"/>
                <w:sz w:val="19"/>
                <w:szCs w:val="19"/>
              </w:rPr>
              <w:t xml:space="preserve">Marina-Stored vs. Home-Stored Vessels</w:t>
            </w:r>
          </w:p>
          <w:p>
            <w:pPr>
              <w:spacing w:after="0" w:before="0"/>
            </w:pPr>
            <w:r>
              <w:rPr>
                <w:rFonts w:ascii="Arial" w:cs="Arial" w:eastAsia="Arial" w:hAnsi="Arial"/>
                <w:color w:val="4A3010"/>
                <w:sz w:val="20"/>
                <w:szCs w:val="20"/>
              </w:rPr>
              <w:t xml:space="preserve">Where a boat is stored during the off-season affects both risk and premium. Boats stored at commercial marinas with security systems, fire suppression, and controlled access are generally considered lower theft and vandalism risks than boats stored in driveways or open lots. Some insurers offer storage location discounts for boats kept in secured facilities.</w:t>
            </w:r>
          </w:p>
        </w:tc>
      </w:tr>
    </w:tbl>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0D6E8A" w:sz="18"/>
              <w:bottom w:val="none" w:color="FFFFFF" w:sz="0"/>
              <w:right w:val="none" w:color="FFFFFF" w:sz="0"/>
            </w:tcBorders>
            <w:shd w:fill="E8F5F8" w:val="clear"/>
            <w:tcMar>
              <w:top w:type="dxa" w:w="110"/>
              <w:left w:type="dxa" w:w="200"/>
              <w:bottom w:type="dxa" w:w="110"/>
              <w:right w:type="dxa" w:w="160"/>
            </w:tcMar>
          </w:tcPr>
          <w:p>
            <w:pPr>
              <w:spacing w:after="0" w:before="0"/>
            </w:pPr>
            <w:r>
              <w:rPr>
                <w:rFonts w:ascii="Arial" w:cs="Arial" w:eastAsia="Arial" w:hAnsi="Arial"/>
                <w:b/>
                <w:bCs/>
                <w:color w:val="1A4E6A"/>
                <w:sz w:val="20"/>
                <w:szCs w:val="20"/>
              </w:rPr>
              <w:t xml:space="preserve">Key Takeaway: </w:t>
            </w:r>
            <w:r>
              <w:rPr>
                <w:rFonts w:ascii="Arial" w:cs="Arial" w:eastAsia="Arial" w:hAnsi="Arial"/>
                <w:color w:val="2A3C4A"/>
                <w:sz w:val="20"/>
                <w:szCs w:val="20"/>
              </w:rPr>
              <w:t xml:space="preserve">The optimal seasonal boat insurance strategy: maintain comprehensive coverage every month of the year without interruption, and reduce or suspend liability and collision during the specific months when the boat is definitively stored and will not be operated. This balances cost savings with the year-round protection every stored vessel needs.</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0A2E4A" w:val="clear"/>
            <w:tcMar>
              <w:top w:type="dxa" w:w="160"/>
              <w:left w:type="dxa" w:w="240"/>
              <w:bottom w:type="dxa" w:w="160"/>
              <w:right w:type="dxa" w:w="240"/>
            </w:tcMar>
          </w:tcPr>
          <w:p>
            <w:pPr>
              <w:spacing w:after="0" w:before="0"/>
            </w:pPr>
            <w:r>
              <w:rPr>
                <w:rFonts w:ascii="Arial" w:cs="Arial" w:eastAsia="Arial" w:hAnsi="Arial"/>
                <w:b/>
                <w:bCs/>
                <w:color w:val="A8D4E0"/>
                <w:sz w:val="28"/>
                <w:szCs w:val="28"/>
              </w:rPr>
              <w:t xml:space="preserve">10.  </w:t>
            </w:r>
            <w:r>
              <w:rPr>
                <w:rFonts w:ascii="Arial" w:cs="Arial" w:eastAsia="Arial" w:hAnsi="Arial"/>
                <w:b/>
                <w:bCs/>
                <w:color w:val="FFFFFF"/>
                <w:sz w:val="28"/>
                <w:szCs w:val="28"/>
              </w:rPr>
              <w:t xml:space="preserve">Role of Boat Insurance in a Total Insurance Program</w:t>
            </w:r>
          </w:p>
        </w:tc>
      </w:tr>
    </w:tbl>
    <w:p>
      <w:pPr>
        <w:spacing w:after="0" w:before="100"/>
      </w:pPr>
      <w:r>
        <w:rPr>
          <w:rFonts w:ascii="Arial" w:cs="Arial" w:eastAsia="Arial" w:hAnsi="Arial"/>
        </w:rPr>
        <w:t xml:space="preserve"/>
      </w:r>
    </w:p>
    <w:p>
      <w:pPr>
        <w:spacing w:after="110" w:before="80"/>
      </w:pPr>
      <w:r>
        <w:rPr>
          <w:rFonts w:ascii="Arial" w:cs="Arial" w:eastAsia="Arial" w:hAnsi="Arial"/>
          <w:color w:val="0A1A28"/>
          <w:sz w:val="22"/>
          <w:szCs w:val="22"/>
        </w:rPr>
        <w:t xml:space="preserve">Boat insurance is a distinct and essential component of a comprehensive personal insurance program. It does not duplicate auto, homeowners, or health insurance coverage — it fills a specific gap that each of those policies leaves open. Understanding how boat insurance fits into your broader insurance portfolio ensures complete financial protection across all your assets and activities.</w:t>
      </w:r>
    </w:p>
    <w:p>
      <w:pPr>
        <w:spacing w:after="0" w:before="100"/>
      </w:pPr>
      <w:r>
        <w:rPr>
          <w:rFonts w:ascii="Arial" w:cs="Arial" w:eastAsia="Arial" w:hAnsi="Arial"/>
        </w:rPr>
        <w:t xml:space="preserve"/>
      </w:r>
    </w:p>
    <w:p>
      <w:pPr>
        <w:pBdr>
          <w:bottom w:val="single" w:color="B0CEDA" w:sz="4" w:space="4"/>
        </w:pBdr>
        <w:spacing w:after="80" w:before="220"/>
      </w:pPr>
      <w:r>
        <w:rPr>
          <w:rFonts w:ascii="Arial" w:cs="Arial" w:eastAsia="Arial" w:hAnsi="Arial"/>
          <w:b/>
          <w:bCs/>
          <w:color w:val="0A2E4A"/>
          <w:sz w:val="24"/>
          <w:szCs w:val="24"/>
        </w:rPr>
        <w:t xml:space="preserve">How Boat Insurance Fits the Complete Program</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000"/>
        <w:gridCol w:w="6360"/>
      </w:tblGrid>
      <w:tr>
        <w:tc>
          <w:tcPr>
            <w:tcW w:type="dxa" w:w="3000"/>
            <w:tcBorders>
              <w:top w:val="none" w:color="FFFFFF" w:sz="0"/>
              <w:left w:val="none" w:color="FFFFFF" w:sz="0"/>
              <w:bottom w:val="none" w:color="FFFFFF" w:sz="0"/>
              <w:right w:val="none" w:color="FFFFFF" w:sz="0"/>
            </w:tcBorders>
            <w:shd w:fill="2A3A48"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Personal Umbrella</w:t>
            </w:r>
          </w:p>
        </w:tc>
        <w:tc>
          <w:tcPr>
            <w:tcW w:type="dxa" w:w="6360"/>
            <w:tcBorders>
              <w:top w:val="single" w:color="A8C0D0" w:sz="1"/>
              <w:left w:val="single" w:color="A8C0D0" w:sz="1"/>
              <w:bottom w:val="single" w:color="A8C0D0" w:sz="1"/>
              <w:right w:val="single" w:color="A8C0D0" w:sz="1"/>
            </w:tcBorders>
            <w:shd w:fill="EBF4F8" w:val="clear"/>
            <w:tcMar>
              <w:top w:type="dxa" w:w="100"/>
              <w:left w:type="dxa" w:w="160"/>
              <w:bottom w:type="dxa" w:w="100"/>
              <w:right w:type="dxa" w:w="160"/>
            </w:tcMar>
          </w:tcPr>
          <w:p>
            <w:pPr>
              <w:spacing w:after="0" w:before="0"/>
            </w:pPr>
            <w:r>
              <w:rPr>
                <w:rFonts w:ascii="Arial" w:cs="Arial" w:eastAsia="Arial" w:hAnsi="Arial"/>
                <w:color w:val="2A3C4A"/>
                <w:sz w:val="20"/>
                <w:szCs w:val="20"/>
              </w:rPr>
              <w:t xml:space="preserve">Excess liability above boat, auto, and homeowners limits. Should schedule the vessel as an underlying policy. Critical for high-value boats and offshore cruisers.</w:t>
            </w:r>
          </w:p>
        </w:tc>
      </w:tr>
      <w:tr>
        <w:tc>
          <w:tcPr>
            <w:tcW w:type="dxa" w:w="3000"/>
            <w:tcBorders>
              <w:top w:val="none" w:color="FFFFFF" w:sz="0"/>
              <w:left w:val="none" w:color="FFFFFF" w:sz="0"/>
              <w:bottom w:val="none" w:color="FFFFFF" w:sz="0"/>
              <w:right w:val="none" w:color="FFFFFF" w:sz="0"/>
            </w:tcBorders>
            <w:shd w:fill="0A2E4A"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Boat / Yacht Policy</w:t>
            </w:r>
          </w:p>
        </w:tc>
        <w:tc>
          <w:tcPr>
            <w:tcW w:type="dxa" w:w="6360"/>
            <w:tcBorders>
              <w:top w:val="single" w:color="A8C0D0" w:sz="1"/>
              <w:left w:val="single" w:color="A8C0D0" w:sz="1"/>
              <w:bottom w:val="single" w:color="A8C0D0" w:sz="1"/>
              <w:right w:val="single" w:color="A8C0D0" w:sz="1"/>
            </w:tcBorders>
            <w:shd w:fill="FFFFFF" w:val="clear"/>
            <w:tcMar>
              <w:top w:type="dxa" w:w="100"/>
              <w:left w:type="dxa" w:w="160"/>
              <w:bottom w:type="dxa" w:w="100"/>
              <w:right w:type="dxa" w:w="160"/>
            </w:tcMar>
          </w:tcPr>
          <w:p>
            <w:pPr>
              <w:spacing w:after="0" w:before="0"/>
            </w:pPr>
            <w:r>
              <w:rPr>
                <w:rFonts w:ascii="Arial" w:cs="Arial" w:eastAsia="Arial" w:hAnsi="Arial"/>
                <w:color w:val="2A3C4A"/>
                <w:sz w:val="20"/>
                <w:szCs w:val="20"/>
              </w:rPr>
              <w:t xml:space="preserve">Hull coverage, liability, medical payments, fuel spill, towing, personal effects, and all on-water risks. The only policy that fully protects the vessel and its operation.</w:t>
            </w:r>
          </w:p>
        </w:tc>
      </w:tr>
      <w:tr>
        <w:tc>
          <w:tcPr>
            <w:tcW w:type="dxa" w:w="3000"/>
            <w:tcBorders>
              <w:top w:val="none" w:color="FFFFFF" w:sz="0"/>
              <w:left w:val="none" w:color="FFFFFF" w:sz="0"/>
              <w:bottom w:val="none" w:color="FFFFFF" w:sz="0"/>
              <w:right w:val="none" w:color="FFFFFF" w:sz="0"/>
            </w:tcBorders>
            <w:shd w:fill="1A4E6A"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Auto Insurance</w:t>
            </w:r>
          </w:p>
        </w:tc>
        <w:tc>
          <w:tcPr>
            <w:tcW w:type="dxa" w:w="6360"/>
            <w:tcBorders>
              <w:top w:val="single" w:color="A8C0D0" w:sz="1"/>
              <w:left w:val="single" w:color="A8C0D0" w:sz="1"/>
              <w:bottom w:val="single" w:color="A8C0D0" w:sz="1"/>
              <w:right w:val="single" w:color="A8C0D0" w:sz="1"/>
            </w:tcBorders>
            <w:shd w:fill="EBF4F8" w:val="clear"/>
            <w:tcMar>
              <w:top w:type="dxa" w:w="100"/>
              <w:left w:type="dxa" w:w="160"/>
              <w:bottom w:type="dxa" w:w="100"/>
              <w:right w:type="dxa" w:w="160"/>
            </w:tcMar>
          </w:tcPr>
          <w:p>
            <w:pPr>
              <w:spacing w:after="0" w:before="0"/>
            </w:pPr>
            <w:r>
              <w:rPr>
                <w:rFonts w:ascii="Arial" w:cs="Arial" w:eastAsia="Arial" w:hAnsi="Arial"/>
                <w:color w:val="2A3C4A"/>
                <w:sz w:val="20"/>
                <w:szCs w:val="20"/>
              </w:rPr>
              <w:t xml:space="preserve">Covers the tow vehicle and boat trailer while on public roads. Liability coverage may extend to the trailer while being towed. Does NOT cover the vessel itself or on-water risks.</w:t>
            </w:r>
          </w:p>
        </w:tc>
      </w:tr>
      <w:tr>
        <w:tc>
          <w:tcPr>
            <w:tcW w:type="dxa" w:w="3000"/>
            <w:tcBorders>
              <w:top w:val="none" w:color="FFFFFF" w:sz="0"/>
              <w:left w:val="none" w:color="FFFFFF" w:sz="0"/>
              <w:bottom w:val="none" w:color="FFFFFF" w:sz="0"/>
              <w:right w:val="none" w:color="FFFFFF" w:sz="0"/>
            </w:tcBorders>
            <w:shd w:fill="0D6E8A"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Homeowners Policy</w:t>
            </w:r>
          </w:p>
        </w:tc>
        <w:tc>
          <w:tcPr>
            <w:tcW w:type="dxa" w:w="6360"/>
            <w:tcBorders>
              <w:top w:val="single" w:color="A8C0D0" w:sz="1"/>
              <w:left w:val="single" w:color="A8C0D0" w:sz="1"/>
              <w:bottom w:val="single" w:color="A8C0D0" w:sz="1"/>
              <w:right w:val="single" w:color="A8C0D0" w:sz="1"/>
            </w:tcBorders>
            <w:shd w:fill="FFFFFF" w:val="clear"/>
            <w:tcMar>
              <w:top w:type="dxa" w:w="100"/>
              <w:left w:type="dxa" w:w="160"/>
              <w:bottom w:type="dxa" w:w="100"/>
              <w:right w:type="dxa" w:w="160"/>
            </w:tcMar>
          </w:tcPr>
          <w:p>
            <w:pPr>
              <w:spacing w:after="0" w:before="0"/>
            </w:pPr>
            <w:r>
              <w:rPr>
                <w:rFonts w:ascii="Arial" w:cs="Arial" w:eastAsia="Arial" w:hAnsi="Arial"/>
                <w:color w:val="2A3C4A"/>
                <w:sz w:val="20"/>
                <w:szCs w:val="20"/>
              </w:rPr>
              <w:t xml:space="preserve">Covers the primary residence and personal property. Provides minimal watercraft coverage (typically $1,500 sublimit). Does NOT cover the vessel at marinas, on the water, or for on-water liability.</w:t>
            </w:r>
          </w:p>
        </w:tc>
      </w:tr>
      <w:tr>
        <w:tc>
          <w:tcPr>
            <w:tcW w:type="dxa" w:w="3000"/>
            <w:tcBorders>
              <w:top w:val="none" w:color="FFFFFF" w:sz="0"/>
              <w:left w:val="none" w:color="FFFFFF" w:sz="0"/>
              <w:bottom w:val="none" w:color="FFFFFF" w:sz="0"/>
              <w:right w:val="none" w:color="FFFFFF" w:sz="0"/>
            </w:tcBorders>
            <w:shd w:fill="1A6A5C"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Health Insurance</w:t>
            </w:r>
          </w:p>
        </w:tc>
        <w:tc>
          <w:tcPr>
            <w:tcW w:type="dxa" w:w="6360"/>
            <w:tcBorders>
              <w:top w:val="single" w:color="A8C0D0" w:sz="1"/>
              <w:left w:val="single" w:color="A8C0D0" w:sz="1"/>
              <w:bottom w:val="single" w:color="A8C0D0" w:sz="1"/>
              <w:right w:val="single" w:color="A8C0D0" w:sz="1"/>
            </w:tcBorders>
            <w:shd w:fill="EBF4F8" w:val="clear"/>
            <w:tcMar>
              <w:top w:type="dxa" w:w="100"/>
              <w:left w:type="dxa" w:w="160"/>
              <w:bottom w:type="dxa" w:w="100"/>
              <w:right w:type="dxa" w:w="160"/>
            </w:tcMar>
          </w:tcPr>
          <w:p>
            <w:pPr>
              <w:spacing w:after="0" w:before="0"/>
            </w:pPr>
            <w:r>
              <w:rPr>
                <w:rFonts w:ascii="Arial" w:cs="Arial" w:eastAsia="Arial" w:hAnsi="Arial"/>
                <w:color w:val="2A3C4A"/>
                <w:sz w:val="20"/>
                <w:szCs w:val="20"/>
              </w:rPr>
              <w:t xml:space="preserve">Covers medical expenses from boating injuries after deductible. Works in coordination with medical payments coverage on the boat policy for first-dollar medical coverage.</w:t>
            </w:r>
          </w:p>
        </w:tc>
      </w:tr>
    </w:tbl>
    <w:p>
      <w:pPr>
        <w:spacing w:after="0" w:before="120"/>
      </w:pPr>
      <w:r>
        <w:rPr>
          <w:rFonts w:ascii="Arial" w:cs="Arial" w:eastAsia="Arial" w:hAnsi="Arial"/>
        </w:rPr>
        <w:t xml:space="preserve"/>
      </w:r>
    </w:p>
    <w:p>
      <w:pPr>
        <w:pBdr>
          <w:bottom w:val="single" w:color="B0CEDA" w:sz="4" w:space="4"/>
        </w:pBdr>
        <w:spacing w:after="80" w:before="220"/>
      </w:pPr>
      <w:r>
        <w:rPr>
          <w:rFonts w:ascii="Arial" w:cs="Arial" w:eastAsia="Arial" w:hAnsi="Arial"/>
          <w:b/>
          <w:bCs/>
          <w:color w:val="0A2E4A"/>
          <w:sz w:val="24"/>
          <w:szCs w:val="24"/>
        </w:rPr>
        <w:t xml:space="preserve">Key Coordination Points Between Policies</w:t>
      </w:r>
    </w:p>
    <w:p>
      <w:pPr>
        <w:spacing w:after="0" w:before="60"/>
      </w:pPr>
      <w:r>
        <w:rPr>
          <w:rFonts w:ascii="Arial" w:cs="Arial" w:eastAsia="Arial" w:hAnsi="Arial"/>
        </w:rPr>
        <w:t xml:space="preserve"/>
      </w:r>
    </w:p>
    <w:p>
      <w:pPr>
        <w:pStyle w:val="ListParagraph"/>
        <w:numPr>
          <w:ilvl w:val="0"/>
          <w:numId w:val="2"/>
        </w:numPr>
        <w:spacing w:after="60" w:before="60"/>
      </w:pPr>
      <w:r>
        <w:rPr>
          <w:rFonts w:ascii="Arial" w:cs="Arial" w:eastAsia="Arial" w:hAnsi="Arial"/>
          <w:b/>
          <w:bCs/>
          <w:color w:val="0D6E8A"/>
          <w:sz w:val="22"/>
          <w:szCs w:val="22"/>
        </w:rPr>
        <w:t xml:space="preserve">Boat policy and personal umbrella — </w:t>
      </w:r>
      <w:r>
        <w:rPr>
          <w:rFonts w:ascii="Arial" w:cs="Arial" w:eastAsia="Arial" w:hAnsi="Arial"/>
          <w:color w:val="2A3C4A"/>
          <w:sz w:val="22"/>
          <w:szCs w:val="22"/>
        </w:rPr>
        <w:t xml:space="preserve">schedule the vessel as an underlying policy on your personal umbrella; confirm that the umbrella’s required minimum underlying liability is met by your boat policy</w:t>
      </w:r>
    </w:p>
    <w:p>
      <w:pPr>
        <w:pStyle w:val="ListParagraph"/>
        <w:numPr>
          <w:ilvl w:val="0"/>
          <w:numId w:val="2"/>
        </w:numPr>
        <w:spacing w:after="60" w:before="60"/>
      </w:pPr>
      <w:r>
        <w:rPr>
          <w:rFonts w:ascii="Arial" w:cs="Arial" w:eastAsia="Arial" w:hAnsi="Arial"/>
          <w:b/>
          <w:bCs/>
          <w:color w:val="0D6E8A"/>
          <w:sz w:val="22"/>
          <w:szCs w:val="22"/>
        </w:rPr>
        <w:t xml:space="preserve">Auto policy and boat trailer — </w:t>
      </w:r>
      <w:r>
        <w:rPr>
          <w:rFonts w:ascii="Arial" w:cs="Arial" w:eastAsia="Arial" w:hAnsi="Arial"/>
          <w:color w:val="2A3C4A"/>
          <w:sz w:val="22"/>
          <w:szCs w:val="22"/>
        </w:rPr>
        <w:t xml:space="preserve">your auto policy covers the trailer while being towed on roads; your boat policy covers the vessel at all times; these policies complement without overlapping</w:t>
      </w:r>
    </w:p>
    <w:p>
      <w:pPr>
        <w:pStyle w:val="ListParagraph"/>
        <w:numPr>
          <w:ilvl w:val="0"/>
          <w:numId w:val="2"/>
        </w:numPr>
        <w:spacing w:after="60" w:before="60"/>
      </w:pPr>
      <w:r>
        <w:rPr>
          <w:rFonts w:ascii="Arial" w:cs="Arial" w:eastAsia="Arial" w:hAnsi="Arial"/>
          <w:b/>
          <w:bCs/>
          <w:color w:val="0D6E8A"/>
          <w:sz w:val="22"/>
          <w:szCs w:val="22"/>
        </w:rPr>
        <w:t xml:space="preserve">Homeowners and personal effects aboard — </w:t>
      </w:r>
      <w:r>
        <w:rPr>
          <w:rFonts w:ascii="Arial" w:cs="Arial" w:eastAsia="Arial" w:hAnsi="Arial"/>
          <w:color w:val="2A3C4A"/>
          <w:sz w:val="22"/>
          <w:szCs w:val="22"/>
        </w:rPr>
        <w:t xml:space="preserve">personal property carried on the boat may have limited protection under your homeowners off-premises coverage; a dedicated personal effects endorsement on the boat policy provides better, higher-limit protection</w:t>
      </w:r>
    </w:p>
    <w:p>
      <w:pPr>
        <w:pStyle w:val="ListParagraph"/>
        <w:numPr>
          <w:ilvl w:val="0"/>
          <w:numId w:val="2"/>
        </w:numPr>
        <w:spacing w:after="60" w:before="60"/>
      </w:pPr>
      <w:r>
        <w:rPr>
          <w:rFonts w:ascii="Arial" w:cs="Arial" w:eastAsia="Arial" w:hAnsi="Arial"/>
          <w:b/>
          <w:bCs/>
          <w:color w:val="0D6E8A"/>
          <w:sz w:val="22"/>
          <w:szCs w:val="22"/>
        </w:rPr>
        <w:t xml:space="preserve">Boat contents and personal articles policy — </w:t>
      </w:r>
      <w:r>
        <w:rPr>
          <w:rFonts w:ascii="Arial" w:cs="Arial" w:eastAsia="Arial" w:hAnsi="Arial"/>
          <w:color w:val="2A3C4A"/>
          <w:sz w:val="22"/>
          <w:szCs w:val="22"/>
        </w:rPr>
        <w:t xml:space="preserve">high-value items regularly carried aboard — cameras, dive equipment, laptops, fishing gear, jewelry — may benefit from a personal articles floater providing agreed value and worldwide coverage</w:t>
      </w:r>
    </w:p>
    <w:p>
      <w:pPr>
        <w:pStyle w:val="ListParagraph"/>
        <w:numPr>
          <w:ilvl w:val="0"/>
          <w:numId w:val="2"/>
        </w:numPr>
        <w:spacing w:after="60" w:before="60"/>
      </w:pPr>
      <w:r>
        <w:rPr>
          <w:rFonts w:ascii="Arial" w:cs="Arial" w:eastAsia="Arial" w:hAnsi="Arial"/>
          <w:b/>
          <w:bCs/>
          <w:color w:val="0D6E8A"/>
          <w:sz w:val="22"/>
          <w:szCs w:val="22"/>
        </w:rPr>
        <w:t xml:space="preserve">Liveaboard and homeowners — </w:t>
      </w:r>
      <w:r>
        <w:rPr>
          <w:rFonts w:ascii="Arial" w:cs="Arial" w:eastAsia="Arial" w:hAnsi="Arial"/>
          <w:color w:val="2A3C4A"/>
          <w:sz w:val="22"/>
          <w:szCs w:val="22"/>
        </w:rPr>
        <w:t xml:space="preserve">boat owners who live aboard their vessel full-time should replace their homeowners policy with a dedicated liveaboard marine policy that addresses personal liability, contents, and loss of use as a primary residence</w:t>
      </w:r>
    </w:p>
    <w:p>
      <w:pPr>
        <w:spacing w:after="0" w:before="100"/>
      </w:pPr>
      <w:r>
        <w:rPr>
          <w:rFonts w:ascii="Arial" w:cs="Arial" w:eastAsia="Arial" w:hAnsi="Arial"/>
        </w:rPr>
        <w:t xml:space="preserve"/>
      </w:r>
    </w:p>
    <w:p>
      <w:pPr>
        <w:pBdr>
          <w:bottom w:val="single" w:color="B0CEDA" w:sz="4" w:space="4"/>
        </w:pBdr>
        <w:spacing w:after="80" w:before="220"/>
      </w:pPr>
      <w:r>
        <w:rPr>
          <w:rFonts w:ascii="Arial" w:cs="Arial" w:eastAsia="Arial" w:hAnsi="Arial"/>
          <w:b/>
          <w:bCs/>
          <w:color w:val="0A2E4A"/>
          <w:sz w:val="24"/>
          <w:szCs w:val="24"/>
        </w:rPr>
        <w:t xml:space="preserve">Annual Program Review for Boat Owners</w:t>
      </w:r>
    </w:p>
    <w:p>
      <w:pPr>
        <w:spacing w:after="0" w:before="60"/>
      </w:pPr>
      <w:r>
        <w:rPr>
          <w:rFonts w:ascii="Arial" w:cs="Arial" w:eastAsia="Arial" w:hAnsi="Arial"/>
        </w:rPr>
        <w:t xml:space="preserve"/>
      </w:r>
    </w:p>
    <w:p>
      <w:pPr>
        <w:pStyle w:val="ListParagraph"/>
        <w:numPr>
          <w:ilvl w:val="0"/>
          <w:numId w:val="2"/>
        </w:numPr>
        <w:spacing w:after="60" w:before="60"/>
      </w:pPr>
      <w:r>
        <w:rPr>
          <w:rFonts w:ascii="Arial" w:cs="Arial" w:eastAsia="Arial" w:hAnsi="Arial"/>
          <w:b/>
          <w:bCs/>
          <w:color w:val="0D6E8A"/>
          <w:sz w:val="22"/>
          <w:szCs w:val="22"/>
        </w:rPr>
        <w:t xml:space="preserve">Confirm vessel is on umbrella schedule — </w:t>
      </w:r>
      <w:r>
        <w:rPr>
          <w:rFonts w:ascii="Arial" w:cs="Arial" w:eastAsia="Arial" w:hAnsi="Arial"/>
          <w:color w:val="2A3C4A"/>
          <w:sz w:val="22"/>
          <w:szCs w:val="22"/>
        </w:rPr>
        <w:t xml:space="preserve">the boat should be listed as an underlying vehicle/vessel on your personal umbrella each policy year</w:t>
      </w:r>
    </w:p>
    <w:p>
      <w:pPr>
        <w:pStyle w:val="ListParagraph"/>
        <w:numPr>
          <w:ilvl w:val="0"/>
          <w:numId w:val="2"/>
        </w:numPr>
        <w:spacing w:after="60" w:before="60"/>
      </w:pPr>
      <w:r>
        <w:rPr>
          <w:rFonts w:ascii="Arial" w:cs="Arial" w:eastAsia="Arial" w:hAnsi="Arial"/>
          <w:b/>
          <w:bCs/>
          <w:color w:val="0D6E8A"/>
          <w:sz w:val="22"/>
          <w:szCs w:val="22"/>
        </w:rPr>
        <w:t xml:space="preserve">Update agreed value annually — </w:t>
      </w:r>
      <w:r>
        <w:rPr>
          <w:rFonts w:ascii="Arial" w:cs="Arial" w:eastAsia="Arial" w:hAnsi="Arial"/>
          <w:color w:val="2A3C4A"/>
          <w:sz w:val="22"/>
          <w:szCs w:val="22"/>
        </w:rPr>
        <w:t xml:space="preserve">boat values fluctuate with the market; update your agreed value each renewal to reflect current comparable sales and any improvements or equipment added</w:t>
      </w:r>
    </w:p>
    <w:p>
      <w:pPr>
        <w:pStyle w:val="ListParagraph"/>
        <w:numPr>
          <w:ilvl w:val="0"/>
          <w:numId w:val="2"/>
        </w:numPr>
        <w:spacing w:after="60" w:before="60"/>
      </w:pPr>
      <w:r>
        <w:rPr>
          <w:rFonts w:ascii="Arial" w:cs="Arial" w:eastAsia="Arial" w:hAnsi="Arial"/>
          <w:b/>
          <w:bCs/>
          <w:color w:val="0D6E8A"/>
          <w:sz w:val="22"/>
          <w:szCs w:val="22"/>
        </w:rPr>
        <w:t xml:space="preserve">Review trailer coverage — </w:t>
      </w:r>
      <w:r>
        <w:rPr>
          <w:rFonts w:ascii="Arial" w:cs="Arial" w:eastAsia="Arial" w:hAnsi="Arial"/>
          <w:color w:val="2A3C4A"/>
          <w:sz w:val="22"/>
          <w:szCs w:val="22"/>
        </w:rPr>
        <w:t xml:space="preserve">if the boat trailer has significant value, confirm it is scheduled on the boat policy or is otherwise covered</w:t>
      </w:r>
    </w:p>
    <w:p>
      <w:pPr>
        <w:pStyle w:val="ListParagraph"/>
        <w:numPr>
          <w:ilvl w:val="0"/>
          <w:numId w:val="2"/>
        </w:numPr>
        <w:spacing w:after="60" w:before="60"/>
      </w:pPr>
      <w:r>
        <w:rPr>
          <w:rFonts w:ascii="Arial" w:cs="Arial" w:eastAsia="Arial" w:hAnsi="Arial"/>
          <w:b/>
          <w:bCs/>
          <w:color w:val="0D6E8A"/>
          <w:sz w:val="22"/>
          <w:szCs w:val="22"/>
        </w:rPr>
        <w:t xml:space="preserve">Assess electronics and equipment — </w:t>
      </w:r>
      <w:r>
        <w:rPr>
          <w:rFonts w:ascii="Arial" w:cs="Arial" w:eastAsia="Arial" w:hAnsi="Arial"/>
          <w:color w:val="2A3C4A"/>
          <w:sz w:val="22"/>
          <w:szCs w:val="22"/>
        </w:rPr>
        <w:t xml:space="preserve">as you add chart plotters, sonar, marine electronics, and fishing equipment, update your equipment coverage limits</w:t>
      </w:r>
    </w:p>
    <w:p>
      <w:pPr>
        <w:pStyle w:val="ListParagraph"/>
        <w:numPr>
          <w:ilvl w:val="0"/>
          <w:numId w:val="2"/>
        </w:numPr>
        <w:spacing w:after="60" w:before="60"/>
      </w:pPr>
      <w:r>
        <w:rPr>
          <w:rFonts w:ascii="Arial" w:cs="Arial" w:eastAsia="Arial" w:hAnsi="Arial"/>
          <w:b/>
          <w:bCs/>
          <w:color w:val="0D6E8A"/>
          <w:sz w:val="22"/>
          <w:szCs w:val="22"/>
        </w:rPr>
        <w:t xml:space="preserve">Review navigational territory — </w:t>
      </w:r>
      <w:r>
        <w:rPr>
          <w:rFonts w:ascii="Arial" w:cs="Arial" w:eastAsia="Arial" w:hAnsi="Arial"/>
          <w:color w:val="2A3C4A"/>
          <w:sz w:val="22"/>
          <w:szCs w:val="22"/>
        </w:rPr>
        <w:t xml:space="preserve">if your boating range has expanded to offshore, coastal, or international waters, confirm your policy’s navigational territory covers where you actually go</w:t>
      </w:r>
    </w:p>
    <w:p>
      <w:pPr>
        <w:pStyle w:val="ListParagraph"/>
        <w:numPr>
          <w:ilvl w:val="0"/>
          <w:numId w:val="2"/>
        </w:numPr>
        <w:spacing w:after="60" w:before="60"/>
      </w:pPr>
      <w:r>
        <w:rPr>
          <w:rFonts w:ascii="Arial" w:cs="Arial" w:eastAsia="Arial" w:hAnsi="Arial"/>
          <w:b/>
          <w:bCs/>
          <w:color w:val="0D6E8A"/>
          <w:sz w:val="22"/>
          <w:szCs w:val="22"/>
        </w:rPr>
        <w:t xml:space="preserve">Check hurricane plan compliance — </w:t>
      </w:r>
      <w:r>
        <w:rPr>
          <w:rFonts w:ascii="Arial" w:cs="Arial" w:eastAsia="Arial" w:hAnsi="Arial"/>
          <w:color w:val="2A3C4A"/>
          <w:sz w:val="22"/>
          <w:szCs w:val="22"/>
        </w:rPr>
        <w:t xml:space="preserve">if in a hurricane zone, confirm your hurricane preparedness plan meets your insurer’s requirements for coverage to remain valid during named storms</w:t>
      </w:r>
    </w:p>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8A6A2E" w:sz="18"/>
              <w:bottom w:val="none" w:color="FFFFFF" w:sz="0"/>
              <w:right w:val="none" w:color="FFFFFF" w:sz="0"/>
            </w:tcBorders>
            <w:shd w:fill="FFF8EC" w:val="clear"/>
            <w:tcMar>
              <w:top w:type="dxa" w:w="110"/>
              <w:left w:type="dxa" w:w="200"/>
              <w:bottom w:type="dxa" w:w="110"/>
              <w:right w:type="dxa" w:w="160"/>
            </w:tcMar>
          </w:tcPr>
          <w:p>
            <w:pPr>
              <w:spacing w:after="60" w:before="0"/>
            </w:pPr>
            <w:r>
              <w:rPr>
                <w:rFonts w:ascii="Arial" w:cs="Arial" w:eastAsia="Arial" w:hAnsi="Arial"/>
                <w:b/>
                <w:bCs/>
                <w:caps/>
                <w:color w:val="8A6A2E"/>
                <w:sz w:val="19"/>
                <w:szCs w:val="19"/>
              </w:rPr>
              <w:t xml:space="preserve">Multi-Vessel Households</w:t>
            </w:r>
          </w:p>
          <w:p>
            <w:pPr>
              <w:spacing w:after="0" w:before="0"/>
            </w:pPr>
            <w:r>
              <w:rPr>
                <w:rFonts w:ascii="Arial" w:cs="Arial" w:eastAsia="Arial" w:hAnsi="Arial"/>
                <w:color w:val="4A3010"/>
                <w:sz w:val="20"/>
                <w:szCs w:val="20"/>
              </w:rPr>
              <w:t xml:space="preserve">Households with multiple vessels — or vessels combined with personal watercraft, kayaks, or other watercraft — may qualify for multi-vessel discounts. Some carriers offer fleet-style marine programs that cover all watercraft under a single policy structure, simplifying management and potentially reducing total premium cost.</w:t>
            </w:r>
          </w:p>
        </w:tc>
      </w:tr>
    </w:tbl>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0D6E8A" w:sz="18"/>
              <w:bottom w:val="none" w:color="FFFFFF" w:sz="0"/>
              <w:right w:val="none" w:color="FFFFFF" w:sz="0"/>
            </w:tcBorders>
            <w:shd w:fill="E8F5F8" w:val="clear"/>
            <w:tcMar>
              <w:top w:type="dxa" w:w="110"/>
              <w:left w:type="dxa" w:w="200"/>
              <w:bottom w:type="dxa" w:w="110"/>
              <w:right w:type="dxa" w:w="160"/>
            </w:tcMar>
          </w:tcPr>
          <w:p>
            <w:pPr>
              <w:spacing w:after="0" w:before="0"/>
            </w:pPr>
            <w:r>
              <w:rPr>
                <w:rFonts w:ascii="Arial" w:cs="Arial" w:eastAsia="Arial" w:hAnsi="Arial"/>
                <w:b/>
                <w:bCs/>
                <w:color w:val="1A4E6A"/>
                <w:sz w:val="20"/>
                <w:szCs w:val="20"/>
              </w:rPr>
              <w:t xml:space="preserve">Key Takeaway: </w:t>
            </w:r>
            <w:r>
              <w:rPr>
                <w:rFonts w:ascii="Arial" w:cs="Arial" w:eastAsia="Arial" w:hAnsi="Arial"/>
                <w:color w:val="2A3C4A"/>
                <w:sz w:val="20"/>
                <w:szCs w:val="20"/>
              </w:rPr>
              <w:t xml:space="preserve">Boat insurance is the dedicated layer of your insurance program that protects everything about owning and operating a vessel — the boat itself, your liability on the water, your passengers, and your personal property aboard. No other policy type addresses this combination. Every boat owner who uses public waterways, docks at a marina, or has meaningful financial assets to protect needs a dedicated boat insurance policy.</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0A2E4A" w:val="clear"/>
            <w:tcMar>
              <w:top w:type="dxa" w:w="240"/>
              <w:left w:type="dxa" w:w="320"/>
              <w:bottom w:type="dxa" w:w="240"/>
              <w:right w:type="dxa" w:w="320"/>
            </w:tcMar>
          </w:tcPr>
          <w:p>
            <w:pPr>
              <w:spacing w:after="120" w:before="0"/>
            </w:pPr>
            <w:r>
              <w:rPr>
                <w:rFonts w:ascii="Arial" w:cs="Arial" w:eastAsia="Arial" w:hAnsi="Arial"/>
                <w:b/>
                <w:bCs/>
                <w:color w:val="FFFFFF"/>
                <w:sz w:val="30"/>
                <w:szCs w:val="30"/>
              </w:rPr>
              <w:t xml:space="preserve">Fair Winds and Full Coverage.</w:t>
            </w:r>
          </w:p>
          <w:p>
            <w:pPr>
              <w:spacing w:after="100" w:before="0"/>
            </w:pPr>
            <w:r>
              <w:rPr>
                <w:rFonts w:ascii="Arial" w:cs="Arial" w:eastAsia="Arial" w:hAnsi="Arial"/>
                <w:color w:val="B0CEDA"/>
                <w:sz w:val="22"/>
                <w:szCs w:val="22"/>
              </w:rPr>
              <w:t xml:space="preserve">Every trip on the water is an opportunity for adventure — and every trip deserves the protection of a properly structured boat insurance policy. Whether you fish inland lakes, cruise coastal waterways, or sail bluewater passages, Daly &amp; Alexander Insurance is here to help you find the right coverage for the vessel you love.</w:t>
            </w:r>
          </w:p>
          <w:p>
            <w:pPr>
              <w:spacing w:after="0" w:before="0"/>
            </w:pPr>
            <w:r>
              <w:rPr>
                <w:rFonts w:ascii="Arial" w:cs="Arial" w:eastAsia="Arial" w:hAnsi="Arial"/>
                <w:b/>
                <w:bCs/>
                <w:color w:val="FFFFFF"/>
                <w:sz w:val="22"/>
                <w:szCs w:val="22"/>
              </w:rPr>
              <w:t xml:space="preserve">Contact Daly &amp; Alexander Insurance today at www.dalyandalexander.com</w:t>
            </w:r>
          </w:p>
        </w:tc>
      </w:tr>
    </w:tbl>
    <w:p>
      <w:pPr>
        <w:spacing w:after="0" w:before="200"/>
      </w:pPr>
      <w:r>
        <w:rPr>
          <w:rFonts w:ascii="Arial" w:cs="Arial" w:eastAsia="Arial" w:hAnsi="Arial"/>
        </w:rPr>
        <w:t xml:space="preserve"/>
      </w:r>
    </w:p>
    <w:p>
      <w:pPr>
        <w:pBdr>
          <w:top w:val="single" w:color="B0CEDA" w:sz="4" w:space="6"/>
        </w:pBdr>
        <w:spacing w:after="80" w:before="0"/>
      </w:pPr>
      <w:r>
        <w:rPr>
          <w:rFonts w:ascii="Arial" w:cs="Arial" w:eastAsia="Arial" w:hAnsi="Arial"/>
          <w:b/>
          <w:bCs/>
          <w:caps/>
          <w:color w:val="6A7A88"/>
          <w:sz w:val="19"/>
          <w:szCs w:val="19"/>
        </w:rPr>
        <w:t xml:space="preserve">Disclaimer</w:t>
      </w:r>
    </w:p>
    <w:p>
      <w:pPr>
        <w:spacing w:after="120" w:before="0"/>
      </w:pPr>
      <w:r>
        <w:rPr>
          <w:rFonts w:ascii="Arial" w:cs="Arial" w:eastAsia="Arial" w:hAnsi="Arial"/>
          <w:color w:val="6A7A88"/>
          <w:sz w:val="18"/>
          <w:szCs w:val="18"/>
        </w:rPr>
        <w:t xml:space="preserve">The information contained in this article is intended for general informational and educational purposes only and should not be construed as legal, financial, or insurance advice. State boat insurance requirements, legal definitions, coverage terms, and underwriting guidelines vary significantly by state and carrier and are subject to change. It is the sole responsibility of the reader to carefully review their individual insurance policy and applicable state laws to determine the exact scope of coverage and requirements applicable to their specific circumstances. Daly Insurance, Inc. and Daly &amp; Alexander Insurance make no representations or warranties of any kind regarding the completeness, accuracy, or reliability of any content published online or offline, and expressly disclaim all liability for any errors, omissions, or inaccuracies. Coverage availability, terms, and pricing are subject to underwriting approval and vary by carrier, state, and individual circumstance.</w:t>
      </w:r>
    </w:p>
    <w:p>
      <w:pPr>
        <w:spacing w:after="0" w:before="80"/>
        <w:jc w:val="center"/>
      </w:pPr>
      <w:r>
        <w:rPr>
          <w:rFonts w:ascii="Arial" w:cs="Arial" w:eastAsia="Arial" w:hAnsi="Arial"/>
          <w:i/>
          <w:iCs/>
          <w:color w:val="6A7A88"/>
          <w:sz w:val="18"/>
          <w:szCs w:val="18"/>
        </w:rPr>
        <w:t xml:space="preserve">Daly Insurance, Inc.  |  Daly &amp; Alexander Insurance  |  www.dalyandalexander.com  |  Licensed Insurance Professionals</w:t>
      </w:r>
    </w:p>
    <w:sectPr>
      <w:headerReference w:type="default" r:id="rId7"/>
      <w:footerReference w:type="default" r:id="rId8"/>
      <w:pgSz w:w="12240" w:h="15840" w:orient="portrait"/>
      <w:pgMar w:top="1440" w:right="1260" w:bottom="1440" w:left="126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B0CEDA" w:sz="4" w:space="4"/>
      </w:pBdr>
      <w:spacing w:after="0" w:before="0"/>
    </w:pPr>
    <w:r>
      <w:rPr>
        <w:rFonts w:ascii="Arial" w:cs="Arial" w:eastAsia="Arial" w:hAnsi="Arial"/>
        <w:color w:val="6A7A88"/>
        <w:sz w:val="16"/>
        <w:szCs w:val="16"/>
      </w:rPr>
      <w:t xml:space="preserve">Daly Insurance, Inc.  |  Daly &amp; Alexander Insurance  |  Licensed Insurance Professionals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pBdr>
        <w:bottom w:val="single" w:color="B0CEDA" w:sz="4" w:space="6"/>
      </w:pBdr>
      <w:spacing w:after="0" w:before="0"/>
    </w:pPr>
    <w:r>
      <w:rPr>
        <w:rFonts w:ascii="Arial" w:cs="Arial" w:eastAsia="Arial" w:hAnsi="Arial"/>
        <w:b/>
        <w:bCs/>
        <w:color w:val="1A4E6A"/>
        <w:sz w:val="18"/>
        <w:szCs w:val="18"/>
      </w:rPr>
      <w:t xml:space="preserve">BOAT INSURANCE GUIDE</w:t>
    </w:r>
    <w:r>
      <w:rPr>
        <w:rFonts w:ascii="Arial" w:cs="Arial" w:eastAsia="Arial" w:hAnsi="Arial"/>
        <w:color w:val="6A7A88"/>
        <w:sz w:val="18"/>
        <w:szCs w:val="18"/>
      </w:rPr>
      <w:t xml:space="preserve">   |   Daly &amp; Alexander Insurance  |  www.dalyandalexander.com</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560" w:hanging="28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120" w:before="360"/>
      <w:outlineLvl w:val="0"/>
    </w:pPr>
    <w:rPr>
      <w:rFonts w:ascii="Arial" w:cs="Arial" w:eastAsia="Arial" w:hAnsi="Arial"/>
      <w:b/>
      <w:bCs/>
      <w:color w:val="0A2E4A"/>
      <w:sz w:val="32"/>
      <w:szCs w:val="32"/>
    </w:rPr>
  </w:style>
  <w:style w:type="paragraph" w:styleId="Heading2">
    <w:name w:val="Heading 2"/>
    <w:basedOn w:val="Normal"/>
    <w:next w:val="Normal"/>
    <w:qFormat/>
    <w:pPr>
      <w:spacing w:after="80" w:before="240"/>
      <w:outlineLvl w:val="1"/>
    </w:pPr>
    <w:rPr>
      <w:rFonts w:ascii="Arial" w:cs="Arial" w:eastAsia="Arial" w:hAnsi="Arial"/>
      <w:b/>
      <w:bCs/>
      <w:color w:val="1A4E6A"/>
      <w:sz w:val="26"/>
      <w:szCs w:val="26"/>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2026-05-06T04:22:00.481Z</dcterms:created>
  <dcterms:modified xsi:type="dcterms:W3CDTF">2026-05-06T04:22:00.496Z</dcterms:modified>
</cp:coreProperties>
</file>

<file path=docProps/custom.xml><?xml version="1.0" encoding="utf-8"?>
<Properties xmlns="http://schemas.openxmlformats.org/officeDocument/2006/custom-properties" xmlns:vt="http://schemas.openxmlformats.org/officeDocument/2006/docPropsVTypes"/>
</file>