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8A5A18" w:sz="8" w:space="8"/>
        </w:pBdr>
        <w:spacing w:after="80" w:before="0"/>
        <w:jc w:val="center"/>
      </w:pPr>
      <w:r>
        <w:rPr>
          <w:rFonts w:ascii="Arial" w:cs="Arial" w:eastAsia="Arial" w:hAnsi="Arial"/>
          <w:b/>
          <w:bCs/>
          <w:color w:val="1A1E4A"/>
          <w:sz w:val="38"/>
          <w:szCs w:val="38"/>
        </w:rPr>
        <w:t xml:space="preserve">BUSINESS OWNERS POLICY (BOP) &amp;
EXCESS BOP INSURANCE GUIDE</w:t>
      </w:r>
    </w:p>
    <w:p>
      <w:pPr>
        <w:spacing w:after="60" w:before="120"/>
        <w:jc w:val="center"/>
      </w:pPr>
      <w:r>
        <w:rPr>
          <w:rFonts w:ascii="Arial" w:cs="Arial" w:eastAsia="Arial" w:hAnsi="Arial"/>
          <w:i/>
          <w:iCs/>
          <w:color w:val="283040"/>
          <w:sz w:val="23"/>
          <w:szCs w:val="23"/>
        </w:rPr>
        <w:t xml:space="preserve">BOP Fundamentals, Excess Layers &amp; Everything Small-to-Mid Business Owners Need to Know</w:t>
      </w:r>
    </w:p>
    <w:p>
      <w:pPr>
        <w:spacing w:after="0" w:before="0"/>
        <w:jc w:val="center"/>
      </w:pPr>
      <w:r>
        <w:rPr>
          <w:rFonts w:ascii="Arial" w:cs="Arial" w:eastAsia="Arial" w:hAnsi="Arial"/>
          <w:color w:val="6070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5A18" w:sz="18"/>
              <w:bottom w:val="none" w:color="FFFFFF" w:sz="0"/>
              <w:right w:val="none" w:color="FFFFFF" w:sz="0"/>
            </w:tcBorders>
            <w:shd w:fill="FAF5E8" w:val="clear"/>
            <w:tcMar>
              <w:top w:type="dxa" w:w="140"/>
              <w:left w:type="dxa" w:w="240"/>
              <w:bottom w:type="dxa" w:w="140"/>
              <w:right w:type="dxa" w:w="240"/>
            </w:tcMar>
          </w:tcPr>
          <w:p>
            <w:pPr>
              <w:spacing w:after="100" w:before="0"/>
            </w:pPr>
            <w:r>
              <w:rPr>
                <w:rFonts w:ascii="Arial" w:cs="Arial" w:eastAsia="Arial" w:hAnsi="Arial"/>
                <w:color w:val="283040"/>
                <w:sz w:val="22"/>
                <w:szCs w:val="22"/>
              </w:rPr>
              <w:t xml:space="preserve">A Business Owners Policy (BOP) is one of the most widely used and most underestimated insurance products in the small business market. It bundles essential property and liability coverage into a single affordable package — but its built-in limits are designed for the median small business, not for the business that has grown beyond that standard profile. For thousands of businesses, the BOP is the right foundation but an inadequate total program.</w:t>
            </w:r>
          </w:p>
          <w:p>
            <w:pPr>
              <w:spacing w:after="0" w:before="0"/>
            </w:pPr>
            <w:r>
              <w:rPr>
                <w:rFonts w:ascii="Arial" w:cs="Arial" w:eastAsia="Arial" w:hAnsi="Arial"/>
                <w:color w:val="283040"/>
                <w:sz w:val="22"/>
                <w:szCs w:val="22"/>
              </w:rPr>
              <w:t xml:space="preserve">This guide explains what a BOP is, what excess BOP insurance is, how excess layers work, and how to structure a complete BOP-based insurance program that protects the business from the first dollar to the catastrophic claim ceiling.</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1.  </w:t>
            </w:r>
            <w:r>
              <w:rPr>
                <w:rFonts w:ascii="Arial" w:cs="Arial" w:eastAsia="Arial" w:hAnsi="Arial"/>
                <w:b/>
                <w:bCs/>
                <w:color w:val="FFFFFF"/>
                <w:sz w:val="28"/>
                <w:szCs w:val="28"/>
              </w:rPr>
              <w:t xml:space="preserve">What a Business Owners Policy (BOP) Is</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A Business Owners Policy (BOP) is a packaged commercial insurance product that combines commercial property insurance and commercial general liability (CGL) insurance into a single policy, typically at a bundled premium that is lower than the combined cost of the two coverages purchased separately. The BOP was designed by the insurance industry to provide small and mid-sized businesses with a simplified, cost-effective foundation for their commercial insurance programs.</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The BOP is one of the most widely sold commercial insurance products in the United States. Most standard insurance carriers offer BOP programs for qualifying small businesses, and the product is familiar to agents, brokers, and business owners alike. Its simplicity — two essential coverages in one policy with one renewal date and one premium — makes it the practical starting point for millions of small business insurance programs.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BOP Coverage Components At a Glance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1E4A" w:val="clear"/>
            <w:tcMar>
              <w:top w:type="dxa" w:w="100"/>
              <w:left w:type="dxa" w:w="160"/>
              <w:bottom w:type="dxa" w:w="40"/>
              <w:right w:type="dxa" w:w="160"/>
            </w:tcMar>
          </w:tcPr>
          <w:p>
            <w:pPr>
              <w:spacing w:after="0" w:before="0"/>
              <w:jc w:val="center"/>
            </w:pPr>
            <w:r>
              <w:rPr>
                <w:rFonts w:ascii="Arial" w:cs="Arial" w:eastAsia="Arial" w:hAnsi="Arial"/>
                <w:b/>
                <w:bCs/>
                <w:color w:val="FFFFFF"/>
                <w:sz w:val="20"/>
                <w:szCs w:val="20"/>
              </w:rPr>
              <w:t xml:space="preserve">BOP PROPERTY COVERAGE</w:t>
            </w:r>
          </w:p>
        </w:tc>
        <w:tc>
          <w:tcPr>
            <w:tcW w:type="dxa" w:w="4620"/>
            <w:tcBorders>
              <w:top w:val="none" w:color="FFFFFF" w:sz="0"/>
              <w:left w:val="none" w:color="FFFFFF" w:sz="0"/>
              <w:bottom w:val="none" w:color="FFFFFF" w:sz="0"/>
              <w:right w:val="none" w:color="FFFFFF" w:sz="0"/>
            </w:tcBorders>
            <w:shd w:fill="2A3848" w:val="clear"/>
            <w:tcMar>
              <w:top w:type="dxa" w:w="100"/>
              <w:left w:type="dxa" w:w="160"/>
              <w:bottom w:type="dxa" w:w="40"/>
              <w:right w:type="dxa" w:w="160"/>
            </w:tcMar>
          </w:tcPr>
          <w:p>
            <w:pPr>
              <w:spacing w:after="0" w:before="0"/>
              <w:jc w:val="center"/>
            </w:pPr>
            <w:r>
              <w:rPr>
                <w:rFonts w:ascii="Arial" w:cs="Arial" w:eastAsia="Arial" w:hAnsi="Arial"/>
                <w:b/>
                <w:bCs/>
                <w:color w:val="FFFFFF"/>
                <w:sz w:val="20"/>
                <w:szCs w:val="20"/>
              </w:rPr>
              <w:t xml:space="preserve">BOP LIABILITY COVERAGE</w:t>
            </w:r>
          </w:p>
        </w:tc>
      </w:tr>
      <w:tr>
        <w:tc>
          <w:tcPr>
            <w:tcW w:type="dxa" w:w="462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50" w:before="0"/>
            </w:pPr>
            <w:r>
              <w:rPr>
                <w:rFonts w:ascii="Arial" w:cs="Arial" w:eastAsia="Arial" w:hAnsi="Arial"/>
                <w:color w:val="2A3070"/>
                <w:sz w:val="20"/>
                <w:szCs w:val="20"/>
              </w:rPr>
              <w:t xml:space="preserve">Building (owned or improvements)</w:t>
            </w:r>
          </w:p>
          <w:p>
            <w:pPr>
              <w:spacing w:after="50" w:before="0"/>
            </w:pPr>
            <w:r>
              <w:rPr>
                <w:rFonts w:ascii="Arial" w:cs="Arial" w:eastAsia="Arial" w:hAnsi="Arial"/>
                <w:color w:val="2A3070"/>
                <w:sz w:val="20"/>
                <w:szCs w:val="20"/>
              </w:rPr>
              <w:t xml:space="preserve">Business personal property (BPP)</w:t>
            </w:r>
          </w:p>
          <w:p>
            <w:pPr>
              <w:spacing w:after="50" w:before="0"/>
            </w:pPr>
            <w:r>
              <w:rPr>
                <w:rFonts w:ascii="Arial" w:cs="Arial" w:eastAsia="Arial" w:hAnsi="Arial"/>
                <w:color w:val="2A3070"/>
                <w:sz w:val="20"/>
                <w:szCs w:val="20"/>
              </w:rPr>
              <w:t xml:space="preserve">Business income / extra expense</w:t>
            </w:r>
          </w:p>
          <w:p>
            <w:pPr>
              <w:spacing w:after="50" w:before="0"/>
            </w:pPr>
            <w:r>
              <w:rPr>
                <w:rFonts w:ascii="Arial" w:cs="Arial" w:eastAsia="Arial" w:hAnsi="Arial"/>
                <w:color w:val="2A3070"/>
                <w:sz w:val="20"/>
                <w:szCs w:val="20"/>
              </w:rPr>
              <w:t xml:space="preserve">Equipment breakdown (often included)</w:t>
            </w:r>
          </w:p>
          <w:p>
            <w:pPr>
              <w:spacing w:after="0" w:before="0"/>
            </w:pPr>
            <w:r>
              <w:rPr>
                <w:rFonts w:ascii="Arial" w:cs="Arial" w:eastAsia="Arial" w:hAnsi="Arial"/>
                <w:color w:val="2A3070"/>
                <w:sz w:val="20"/>
                <w:szCs w:val="20"/>
              </w:rPr>
              <w:t xml:space="preserve">Spoilage / glass / signs (optional)</w:t>
            </w:r>
          </w:p>
        </w:tc>
        <w:tc>
          <w:tcPr>
            <w:tcW w:type="dxa" w:w="4620"/>
            <w:tcBorders>
              <w:top w:val="single" w:color="9898C0" w:sz="1"/>
              <w:left w:val="single" w:color="9898C0" w:sz="1"/>
              <w:bottom w:val="single" w:color="9898C0" w:sz="1"/>
              <w:right w:val="single" w:color="9898C0" w:sz="1"/>
            </w:tcBorders>
            <w:shd w:fill="EEF2F5" w:val="clear"/>
            <w:tcMar>
              <w:top w:type="dxa" w:w="100"/>
              <w:left w:type="dxa" w:w="160"/>
              <w:bottom w:type="dxa" w:w="100"/>
              <w:right w:type="dxa" w:w="160"/>
            </w:tcMar>
          </w:tcPr>
          <w:p>
            <w:pPr>
              <w:spacing w:after="50" w:before="0"/>
            </w:pPr>
            <w:r>
              <w:rPr>
                <w:rFonts w:ascii="Arial" w:cs="Arial" w:eastAsia="Arial" w:hAnsi="Arial"/>
                <w:color w:val="3C5068"/>
                <w:sz w:val="20"/>
                <w:szCs w:val="20"/>
              </w:rPr>
              <w:t xml:space="preserve">Premises bodily injury &amp; property damage</w:t>
            </w:r>
          </w:p>
          <w:p>
            <w:pPr>
              <w:spacing w:after="50" w:before="0"/>
            </w:pPr>
            <w:r>
              <w:rPr>
                <w:rFonts w:ascii="Arial" w:cs="Arial" w:eastAsia="Arial" w:hAnsi="Arial"/>
                <w:color w:val="3C5068"/>
                <w:sz w:val="20"/>
                <w:szCs w:val="20"/>
              </w:rPr>
              <w:t xml:space="preserve">Operations liability</w:t>
            </w:r>
          </w:p>
          <w:p>
            <w:pPr>
              <w:spacing w:after="50" w:before="0"/>
            </w:pPr>
            <w:r>
              <w:rPr>
                <w:rFonts w:ascii="Arial" w:cs="Arial" w:eastAsia="Arial" w:hAnsi="Arial"/>
                <w:color w:val="3C5068"/>
                <w:sz w:val="20"/>
                <w:szCs w:val="20"/>
              </w:rPr>
              <w:t xml:space="preserve">Products &amp; completed operations</w:t>
            </w:r>
          </w:p>
          <w:p>
            <w:pPr>
              <w:spacing w:after="50" w:before="0"/>
            </w:pPr>
            <w:r>
              <w:rPr>
                <w:rFonts w:ascii="Arial" w:cs="Arial" w:eastAsia="Arial" w:hAnsi="Arial"/>
                <w:color w:val="3C5068"/>
                <w:sz w:val="20"/>
                <w:szCs w:val="20"/>
              </w:rPr>
              <w:t xml:space="preserve">Personal &amp; advertising injury</w:t>
            </w:r>
          </w:p>
          <w:p>
            <w:pPr>
              <w:spacing w:after="0" w:before="0"/>
            </w:pPr>
            <w:r>
              <w:rPr>
                <w:rFonts w:ascii="Arial" w:cs="Arial" w:eastAsia="Arial" w:hAnsi="Arial"/>
                <w:color w:val="3C5068"/>
                <w:sz w:val="20"/>
                <w:szCs w:val="20"/>
              </w:rPr>
              <w:t xml:space="preserve">Medical payments to others</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BOP Eligibility — Who Qualifies</w:t>
      </w:r>
    </w:p>
    <w:p>
      <w:pPr>
        <w:spacing w:after="110" w:before="80"/>
      </w:pPr>
      <w:r>
        <w:rPr>
          <w:rFonts w:ascii="Arial" w:cs="Arial" w:eastAsia="Arial" w:hAnsi="Arial"/>
          <w:color w:val="0C1020"/>
          <w:sz w:val="22"/>
          <w:szCs w:val="22"/>
        </w:rPr>
        <w:t xml:space="preserve">BOPs are not available to every business. Insurers use eligibility guidelines that typically focus on revenue, premises size, and hazard classification to determine whether a business qualifies for BOP treatment:</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3070"/>
          <w:sz w:val="22"/>
          <w:szCs w:val="22"/>
        </w:rPr>
        <w:t xml:space="preserve">Revenue threshold — </w:t>
      </w:r>
      <w:r>
        <w:rPr>
          <w:rFonts w:ascii="Arial" w:cs="Arial" w:eastAsia="Arial" w:hAnsi="Arial"/>
          <w:color w:val="283040"/>
          <w:sz w:val="22"/>
          <w:szCs w:val="22"/>
        </w:rPr>
        <w:t xml:space="preserve">most BOP programs are designed for businesses with annual revenues under $5–10 million; larger businesses are typically placed on standalone commercial property and CGL policies</w:t>
      </w:r>
    </w:p>
    <w:p>
      <w:pPr>
        <w:pStyle w:val="ListParagraph"/>
        <w:numPr>
          <w:ilvl w:val="0"/>
          <w:numId w:val="2"/>
        </w:numPr>
        <w:spacing w:after="60" w:before="60"/>
      </w:pPr>
      <w:r>
        <w:rPr>
          <w:rFonts w:ascii="Arial" w:cs="Arial" w:eastAsia="Arial" w:hAnsi="Arial"/>
          <w:b/>
          <w:bCs/>
          <w:color w:val="2A3070"/>
          <w:sz w:val="22"/>
          <w:szCs w:val="22"/>
        </w:rPr>
        <w:t xml:space="preserve">Premises size — </w:t>
      </w:r>
      <w:r>
        <w:rPr>
          <w:rFonts w:ascii="Arial" w:cs="Arial" w:eastAsia="Arial" w:hAnsi="Arial"/>
          <w:color w:val="283040"/>
          <w:sz w:val="22"/>
          <w:szCs w:val="22"/>
        </w:rPr>
        <w:t xml:space="preserve">BOP programs typically cover smaller locations — retail spaces, small offices, small restaurants — rather than large manufacturing facilities or multi-building campuses</w:t>
      </w:r>
    </w:p>
    <w:p>
      <w:pPr>
        <w:pStyle w:val="ListParagraph"/>
        <w:numPr>
          <w:ilvl w:val="0"/>
          <w:numId w:val="2"/>
        </w:numPr>
        <w:spacing w:after="60" w:before="60"/>
      </w:pPr>
      <w:r>
        <w:rPr>
          <w:rFonts w:ascii="Arial" w:cs="Arial" w:eastAsia="Arial" w:hAnsi="Arial"/>
          <w:b/>
          <w:bCs/>
          <w:color w:val="2A3070"/>
          <w:sz w:val="22"/>
          <w:szCs w:val="22"/>
        </w:rPr>
        <w:t xml:space="preserve">Low-to-moderate hazard — </w:t>
      </w:r>
      <w:r>
        <w:rPr>
          <w:rFonts w:ascii="Arial" w:cs="Arial" w:eastAsia="Arial" w:hAnsi="Arial"/>
          <w:color w:val="283040"/>
          <w:sz w:val="22"/>
          <w:szCs w:val="22"/>
        </w:rPr>
        <w:t xml:space="preserve">BOPs are available for lower-hazard business classifications; higher-hazard businesses (heavy manufacturers, logging operations, bars with high assault exposure) typically do not qualify for BOP treatment and must use individual commercial lines policies</w:t>
      </w:r>
    </w:p>
    <w:p>
      <w:pPr>
        <w:pStyle w:val="ListParagraph"/>
        <w:numPr>
          <w:ilvl w:val="0"/>
          <w:numId w:val="2"/>
        </w:numPr>
        <w:spacing w:after="60" w:before="60"/>
      </w:pPr>
      <w:r>
        <w:rPr>
          <w:rFonts w:ascii="Arial" w:cs="Arial" w:eastAsia="Arial" w:hAnsi="Arial"/>
          <w:b/>
          <w:bCs/>
          <w:color w:val="2A3070"/>
          <w:sz w:val="22"/>
          <w:szCs w:val="22"/>
        </w:rPr>
        <w:t xml:space="preserve">Property ownership or lease — </w:t>
      </w:r>
      <w:r>
        <w:rPr>
          <w:rFonts w:ascii="Arial" w:cs="Arial" w:eastAsia="Arial" w:hAnsi="Arial"/>
          <w:color w:val="283040"/>
          <w:sz w:val="22"/>
          <w:szCs w:val="22"/>
        </w:rPr>
        <w:t xml:space="preserve">the BOP can cover owned buildings, leased spaces (tenant improvements and betterments), or a combination; it is not limited to property-owning businesses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What the BOP Does NOT Include</w:t>
      </w:r>
    </w:p>
    <w:p>
      <w:pPr>
        <w:spacing w:after="110" w:before="80"/>
      </w:pPr>
      <w:r>
        <w:rPr>
          <w:rFonts w:ascii="Arial" w:cs="Arial" w:eastAsia="Arial" w:hAnsi="Arial"/>
          <w:color w:val="0C1020"/>
          <w:sz w:val="22"/>
          <w:szCs w:val="22"/>
        </w:rPr>
        <w:t xml:space="preserve">Despite its broad appeal, the BOP has important coverage gaps that virtually every business should address with supplemental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3070"/>
          <w:sz w:val="22"/>
          <w:szCs w:val="22"/>
        </w:rPr>
        <w:t xml:space="preserve">Professional liability / E&amp;O — </w:t>
      </w:r>
      <w:r>
        <w:rPr>
          <w:rFonts w:ascii="Arial" w:cs="Arial" w:eastAsia="Arial" w:hAnsi="Arial"/>
          <w:color w:val="283040"/>
          <w:sz w:val="22"/>
          <w:szCs w:val="22"/>
        </w:rPr>
        <w:t xml:space="preserve">the CGL component of a BOP excludes professional services liability; any service-oriented business needs a separate professional liability or E&amp;O policy</w:t>
      </w:r>
    </w:p>
    <w:p>
      <w:pPr>
        <w:pStyle w:val="ListParagraph"/>
        <w:numPr>
          <w:ilvl w:val="0"/>
          <w:numId w:val="2"/>
        </w:numPr>
        <w:spacing w:after="60" w:before="60"/>
      </w:pPr>
      <w:r>
        <w:rPr>
          <w:rFonts w:ascii="Arial" w:cs="Arial" w:eastAsia="Arial" w:hAnsi="Arial"/>
          <w:b/>
          <w:bCs/>
          <w:color w:val="2A3070"/>
          <w:sz w:val="22"/>
          <w:szCs w:val="22"/>
        </w:rPr>
        <w:t xml:space="preserve">Workers’ compensation — </w:t>
      </w:r>
      <w:r>
        <w:rPr>
          <w:rFonts w:ascii="Arial" w:cs="Arial" w:eastAsia="Arial" w:hAnsi="Arial"/>
          <w:color w:val="283040"/>
          <w:sz w:val="22"/>
          <w:szCs w:val="22"/>
        </w:rPr>
        <w:t xml:space="preserve">BOPs never include workers’ compensation; a separate WC policy is required for any business with employees</w:t>
      </w:r>
    </w:p>
    <w:p>
      <w:pPr>
        <w:pStyle w:val="ListParagraph"/>
        <w:numPr>
          <w:ilvl w:val="0"/>
          <w:numId w:val="2"/>
        </w:numPr>
        <w:spacing w:after="60" w:before="60"/>
      </w:pPr>
      <w:r>
        <w:rPr>
          <w:rFonts w:ascii="Arial" w:cs="Arial" w:eastAsia="Arial" w:hAnsi="Arial"/>
          <w:b/>
          <w:bCs/>
          <w:color w:val="2A3070"/>
          <w:sz w:val="22"/>
          <w:szCs w:val="22"/>
        </w:rPr>
        <w:t xml:space="preserve">Commercial auto — </w:t>
      </w:r>
      <w:r>
        <w:rPr>
          <w:rFonts w:ascii="Arial" w:cs="Arial" w:eastAsia="Arial" w:hAnsi="Arial"/>
          <w:color w:val="283040"/>
          <w:sz w:val="22"/>
          <w:szCs w:val="22"/>
        </w:rPr>
        <w:t xml:space="preserve">vehicle liability and physical damage are excluded from BOPs; a separate commercial auto policy is required for any business-owned or employee-driven vehicles</w:t>
      </w:r>
    </w:p>
    <w:p>
      <w:pPr>
        <w:pStyle w:val="ListParagraph"/>
        <w:numPr>
          <w:ilvl w:val="0"/>
          <w:numId w:val="2"/>
        </w:numPr>
        <w:spacing w:after="60" w:before="60"/>
      </w:pPr>
      <w:r>
        <w:rPr>
          <w:rFonts w:ascii="Arial" w:cs="Arial" w:eastAsia="Arial" w:hAnsi="Arial"/>
          <w:b/>
          <w:bCs/>
          <w:color w:val="2A3070"/>
          <w:sz w:val="22"/>
          <w:szCs w:val="22"/>
        </w:rPr>
        <w:t xml:space="preserve">Employment practices liability — </w:t>
      </w:r>
      <w:r>
        <w:rPr>
          <w:rFonts w:ascii="Arial" w:cs="Arial" w:eastAsia="Arial" w:hAnsi="Arial"/>
          <w:color w:val="283040"/>
          <w:sz w:val="22"/>
          <w:szCs w:val="22"/>
        </w:rPr>
        <w:t xml:space="preserve">claims from employees for discrimination, harassment, or wrongful termination are excluded from BOPs; a separate EPL policy is recommended for businesses with employees</w:t>
      </w:r>
    </w:p>
    <w:p>
      <w:pPr>
        <w:pStyle w:val="ListParagraph"/>
        <w:numPr>
          <w:ilvl w:val="0"/>
          <w:numId w:val="2"/>
        </w:numPr>
        <w:spacing w:after="60" w:before="60"/>
      </w:pPr>
      <w:r>
        <w:rPr>
          <w:rFonts w:ascii="Arial" w:cs="Arial" w:eastAsia="Arial" w:hAnsi="Arial"/>
          <w:b/>
          <w:bCs/>
          <w:color w:val="2A3070"/>
          <w:sz w:val="22"/>
          <w:szCs w:val="22"/>
        </w:rPr>
        <w:t xml:space="preserve">Cyber liability — </w:t>
      </w:r>
      <w:r>
        <w:rPr>
          <w:rFonts w:ascii="Arial" w:cs="Arial" w:eastAsia="Arial" w:hAnsi="Arial"/>
          <w:color w:val="283040"/>
          <w:sz w:val="22"/>
          <w:szCs w:val="22"/>
        </w:rPr>
        <w:t xml:space="preserve">most standard BOPs have minimal or no cyber liability coverage; a separate cyber policy is essential for businesses that handle customer data</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The BOP is an excellent, efficient starting point for a small business insurance program. It is not a complete insurance program by itself. Every BOP-insured business should supplement the BOP with workers’ compensation, commercial auto, and — depending on the business type — professional liability, cyber, and employment practices liability.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2.  </w:t>
            </w:r>
            <w:r>
              <w:rPr>
                <w:rFonts w:ascii="Arial" w:cs="Arial" w:eastAsia="Arial" w:hAnsi="Arial"/>
                <w:b/>
                <w:bCs/>
                <w:color w:val="FFFFFF"/>
                <w:sz w:val="28"/>
                <w:szCs w:val="28"/>
              </w:rPr>
              <w:t xml:space="preserve">What Excess BOP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Excess BOP insurance is a layer of additional insurance coverage that sits above the primary BOP policy’s limits and pays covered claims that exceed what the primary BOP can pay. It is specifically structured to work with an underlying BOP policy, attaching at the point where the BOP’s per-occurrence or aggregate limits are exhausted and providing additional coverage up to the excess policy’s own limit.</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Excess BOP insurance addresses one of the most significant limitations of the standard BOP product: its relatively modest liability and property limits. While a BOP’s standard $1 million per-occurrence / $2 million aggregate liability limit may be adequate for a business’s most routine claim scenarios, a single serious injury, a major product liability claim, or a significant property loss can easily exceed these limits and expose the business to uncovered financial loss. The excess BOP layer prevents that outcome.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How Excess BOP Works</w:t>
            </w:r>
          </w:p>
          <w:p>
            <w:pPr>
              <w:spacing w:after="0" w:before="0"/>
            </w:pPr>
            <w:r>
              <w:rPr>
                <w:rFonts w:ascii="Arial" w:cs="Arial" w:eastAsia="Arial" w:hAnsi="Arial"/>
                <w:color w:val="283040"/>
                <w:sz w:val="20"/>
                <w:szCs w:val="20"/>
              </w:rPr>
              <w:t xml:space="preserve">The excess BOP policy is dormant until the primary BOP’s applicable limit is fully exhausted by a covered claim. At that point, the excess policy activates and pays additional amounts up to its own limit. The excess policy does not respond to any claim until the underlying BOP limit is used up.</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What It Covers</w:t>
            </w:r>
          </w:p>
          <w:p>
            <w:pPr>
              <w:spacing w:after="0" w:before="0"/>
            </w:pPr>
            <w:r>
              <w:rPr>
                <w:rFonts w:ascii="Arial" w:cs="Arial" w:eastAsia="Arial" w:hAnsi="Arial"/>
                <w:color w:val="283040"/>
                <w:sz w:val="20"/>
                <w:szCs w:val="20"/>
              </w:rPr>
              <w:t xml:space="preserve">Excess BOP coverage mirrors the coverage of the underlying BOP policy — both the property and the liability components. The most commonly structured excess BOP provides excess liability coverage above the BOP’s CGL limits, but excess property coverage above BOP property limits is also available.</w:t>
            </w:r>
          </w:p>
        </w:tc>
      </w:tr>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Available Limits</w:t>
            </w:r>
          </w:p>
          <w:p>
            <w:pPr>
              <w:spacing w:after="0" w:before="0"/>
            </w:pPr>
            <w:r>
              <w:rPr>
                <w:rFonts w:ascii="Arial" w:cs="Arial" w:eastAsia="Arial" w:hAnsi="Arial"/>
                <w:color w:val="283040"/>
                <w:sz w:val="20"/>
                <w:szCs w:val="20"/>
              </w:rPr>
              <w:t xml:space="preserve">Excess BOP limits typically range from $1 million to $10 million above the primary BOP’s limits. Multiple excess layers can be stacked for businesses that need higher total limits. Common excess BOP programs provide $2M–$5M in excess limits for small-to-mid businesses with elevated exposure.</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Who Provides It</w:t>
            </w:r>
          </w:p>
          <w:p>
            <w:pPr>
              <w:spacing w:after="0" w:before="0"/>
            </w:pPr>
            <w:r>
              <w:rPr>
                <w:rFonts w:ascii="Arial" w:cs="Arial" w:eastAsia="Arial" w:hAnsi="Arial"/>
                <w:color w:val="283040"/>
                <w:sz w:val="20"/>
                <w:szCs w:val="20"/>
              </w:rPr>
              <w:t xml:space="preserve">Excess BOP insurance is available from specialty commercial insurers, surplus lines carriers, London market syndicates, and some standard market carriers that offer excess programs. Not all BOP carriers offer matching excess BOP programs; a broker may need to place the excess layer with a different carrier than the primary BOP.</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Excess BOP insurance is not a different type of insurance — it is more of the same insurance, available when the underlying BOP limits have been exhausted. It provides the additional financial capacity needed to protect a business from claims that exceed the modest limits built into the standard BOP product.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3.  </w:t>
            </w:r>
            <w:r>
              <w:rPr>
                <w:rFonts w:ascii="Arial" w:cs="Arial" w:eastAsia="Arial" w:hAnsi="Arial"/>
                <w:b/>
                <w:bCs/>
                <w:color w:val="FFFFFF"/>
                <w:sz w:val="28"/>
                <w:szCs w:val="28"/>
              </w:rPr>
              <w:t xml:space="preserve">How Excess BOP Differs from Standard BOP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The standard BOP and the excess BOP are both components of the same coverage program, but they have fundamentally different structures, roles, and operational characteristics. Understanding how they differ is essential to building a properly coordinated program in which the excess layer functions as intended.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0141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A30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Standard BOP (Primary)</w:t>
            </w:r>
          </w:p>
        </w:tc>
        <w:tc>
          <w:tcPr>
            <w:tcW w:type="dxa" w:w="3330"/>
            <w:tcBorders>
              <w:top w:val="none" w:color="FFFFFF" w:sz="0"/>
              <w:left w:val="none" w:color="FFFFFF" w:sz="0"/>
              <w:bottom w:val="none" w:color="FFFFFF" w:sz="0"/>
              <w:right w:val="none" w:color="FFFFFF" w:sz="0"/>
            </w:tcBorders>
            <w:shd w:fill="2A30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BOP</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Coverage role</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First-pay; responds from dollar one</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Backstop; responds only after BOP limits exhausted</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Policy scope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Full-scope property + liability package</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Liability excess (and sometimes property excess)</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Policy form</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Full BOP form with all terms defined</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Follow-form (mirrors BOP) or manuscript</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Deductible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BOP deductible applies to primary claims</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Typically no additional deductible</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Defense costs</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Paid in addition to liability limits</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May follow BOP defense structure; confirm terms</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Insurer involvement</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Active — investigates and adjusts all claims</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Passive — notified only on major claims nearing limit</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Premium</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Standard BOP premium; all-in package</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Separate premium above BOP; modest relative cost</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Limit structure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$1M per occurrence / $2M aggregate (typical)</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$1M–$10M+ per occurrence above underlying</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Property coverage</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Building and BPP to stated limits</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Excess property above BOP limits if structured</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Business income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BI / extra expense included in BOP</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Not typically in excess; separate if needed</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The Relationship Between BOP and Excess BOP</w:t>
      </w:r>
    </w:p>
    <w:p>
      <w:pPr>
        <w:spacing w:after="110" w:before="80"/>
      </w:pPr>
      <w:r>
        <w:rPr>
          <w:rFonts w:ascii="Arial" w:cs="Arial" w:eastAsia="Arial" w:hAnsi="Arial"/>
          <w:color w:val="0C1020"/>
          <w:sz w:val="22"/>
          <w:szCs w:val="22"/>
        </w:rPr>
        <w:t xml:space="preserve">The standard BOP and the excess BOP function as a unified coverage system in which the BOP provides the first layer of protection and the excess BOP extends that protection upward. The two policies should be structured to work together seamlessly — the excess policy attaching precisely where the BOP limit ends, with consistent terms that prevent gaps between the layers.</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The most critical coordination requirement is that the excess BOP’s attachment point — the amount of loss that must occur before the excess policy responds — equals exactly the BOP’s per-occurrence liability limit. If the BOP has a $1 million per-occurrence limit, the excess BOP attaches at $1 million. If the BOP’s aggregate is eroded during the policy year, both the BOP and excess carrier need to understand the remaining aggregate capacity at all times.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A4858" w:sz="18"/>
              <w:bottom w:val="none" w:color="FFFFFF" w:sz="0"/>
              <w:right w:val="none" w:color="FFFFFF" w:sz="0"/>
            </w:tcBorders>
            <w:shd w:fill="E5F3F7" w:val="clear"/>
            <w:tcMar>
              <w:top w:type="dxa" w:w="110"/>
              <w:left w:type="dxa" w:w="200"/>
              <w:bottom w:type="dxa" w:w="110"/>
              <w:right w:type="dxa" w:w="160"/>
            </w:tcMar>
          </w:tcPr>
          <w:p>
            <w:pPr>
              <w:spacing w:after="60" w:before="0"/>
            </w:pPr>
            <w:r>
              <w:rPr>
                <w:rFonts w:ascii="Arial" w:cs="Arial" w:eastAsia="Arial" w:hAnsi="Arial"/>
                <w:b/>
                <w:bCs/>
                <w:caps/>
                <w:color w:val="0A4858"/>
                <w:sz w:val="19"/>
                <w:szCs w:val="19"/>
              </w:rPr>
              <w:t xml:space="preserve">The Excess BOP in Action</w:t>
            </w:r>
          </w:p>
          <w:p>
            <w:pPr>
              <w:spacing w:after="0" w:before="0"/>
            </w:pPr>
            <w:r>
              <w:rPr>
                <w:rFonts w:ascii="Arial" w:cs="Arial" w:eastAsia="Arial" w:hAnsi="Arial"/>
                <w:color w:val="0A2830"/>
                <w:sz w:val="20"/>
                <w:szCs w:val="20"/>
              </w:rPr>
              <w:t xml:space="preserve">A restaurant’s BOP has $1M per occurrence / $2M aggregate CGL limits. A customer with severe food allergies suffers anaphylactic shock, is hospitalized for two weeks, and sustains permanent kidney damage. The resulting lawsuit produces a $3.5 million judgment. The BOP pays $1 million (its per-occurrence limit is exhausted). The excess BOP pays the remaining $2.5 million (within its $4 million excess layer). Without the excess BOP, the restaurant owner personally owes $2.5 million.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4.  </w:t>
            </w:r>
            <w:r>
              <w:rPr>
                <w:rFonts w:ascii="Arial" w:cs="Arial" w:eastAsia="Arial" w:hAnsi="Arial"/>
                <w:b/>
                <w:bCs/>
                <w:color w:val="FFFFFF"/>
                <w:sz w:val="28"/>
                <w:szCs w:val="28"/>
              </w:rPr>
              <w:t xml:space="preserve">How Excess BOP Layers Over Primary BOP Limits</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The layering structure of an excess BOP program is the foundational concept that makes the entire arrangement work. Like excess liability programs in other commercial insurance contexts, an excess BOP program is built by placing one or more coverage layers above the primary BOP, each attaching at the exhaustion point of the layer below it. Understanding this structure helps business owners select the right excess limits and verify that their program provides continuous protection from small claims to catastrophic ones.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A Typical Excess BOP Program Structure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none" w:color="FFFFFF" w:sz="0"/>
              <w:left w:val="none" w:color="FFFFFF" w:sz="0"/>
              <w:bottom w:val="none" w:color="FFFFFF" w:sz="0"/>
              <w:right w:val="none" w:color="FFFFFF" w:sz="0"/>
            </w:tcBorders>
            <w:shd w:fill="3C5068" w:val="clear"/>
            <w:tcMar>
              <w:top w:type="dxa" w:w="110"/>
              <w:left w:type="dxa" w:w="160"/>
              <w:bottom w:type="dxa" w:w="110"/>
              <w:right w:type="dxa" w:w="160"/>
            </w:tcMar>
          </w:tcPr>
          <w:p>
            <w:pPr>
              <w:spacing w:after="30" w:before="0"/>
            </w:pPr>
            <w:r>
              <w:rPr>
                <w:rFonts w:ascii="Arial" w:cs="Arial" w:eastAsia="Arial" w:hAnsi="Arial"/>
                <w:b/>
                <w:bCs/>
                <w:color w:val="FFFFFF"/>
                <w:sz w:val="21"/>
                <w:szCs w:val="21"/>
              </w:rPr>
              <w:t xml:space="preserve">Second Excess BOP Layer</w:t>
            </w:r>
          </w:p>
          <w:p>
            <w:pPr>
              <w:spacing w:after="0" w:before="0"/>
            </w:pPr>
            <w:r>
              <w:rPr>
                <w:rFonts w:ascii="Arial" w:cs="Arial" w:eastAsia="Arial" w:hAnsi="Arial"/>
                <w:b/>
                <w:bCs/>
                <w:color w:val="B0C0CC"/>
                <w:sz w:val="19"/>
                <w:szCs w:val="19"/>
              </w:rPr>
              <w:t xml:space="preserve">$5M xs $5M</w:t>
            </w:r>
          </w:p>
        </w:tc>
        <w:tc>
          <w:tcPr>
            <w:tcW w:type="dxa" w:w="656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Second excess layer for high-exposure businesses. Attaches above first excess. Total program: $10M. Used for businesses with significant catastrophic claim potential — food service, light manufacturing, larger retail.</w:t>
            </w:r>
          </w:p>
        </w:tc>
      </w:tr>
      <w:tr>
        <w:tc>
          <w:tcPr>
            <w:tcW w:type="dxa" w:w="2800"/>
            <w:tcBorders>
              <w:top w:val="none" w:color="FFFFFF" w:sz="0"/>
              <w:left w:val="none" w:color="FFFFFF" w:sz="0"/>
              <w:bottom w:val="none" w:color="FFFFFF" w:sz="0"/>
              <w:right w:val="none" w:color="FFFFFF" w:sz="0"/>
            </w:tcBorders>
            <w:shd w:fill="2A3070" w:val="clear"/>
            <w:tcMar>
              <w:top w:type="dxa" w:w="110"/>
              <w:left w:type="dxa" w:w="160"/>
              <w:bottom w:type="dxa" w:w="110"/>
              <w:right w:type="dxa" w:w="160"/>
            </w:tcMar>
          </w:tcPr>
          <w:p>
            <w:pPr>
              <w:spacing w:after="30" w:before="0"/>
            </w:pPr>
            <w:r>
              <w:rPr>
                <w:rFonts w:ascii="Arial" w:cs="Arial" w:eastAsia="Arial" w:hAnsi="Arial"/>
                <w:b/>
                <w:bCs/>
                <w:color w:val="FFFFFF"/>
                <w:sz w:val="21"/>
                <w:szCs w:val="21"/>
              </w:rPr>
              <w:t xml:space="preserve">First Excess BOP Layer</w:t>
            </w:r>
          </w:p>
          <w:p>
            <w:pPr>
              <w:spacing w:after="0" w:before="0"/>
            </w:pPr>
            <w:r>
              <w:rPr>
                <w:rFonts w:ascii="Arial" w:cs="Arial" w:eastAsia="Arial" w:hAnsi="Arial"/>
                <w:b/>
                <w:bCs/>
                <w:color w:val="A8ACCC"/>
                <w:sz w:val="19"/>
                <w:szCs w:val="19"/>
              </w:rPr>
              <w:t xml:space="preserve">$4M xs $1M</w:t>
            </w:r>
          </w:p>
        </w:tc>
        <w:tc>
          <w:tcPr>
            <w:tcW w:type="dxa" w:w="6560"/>
            <w:tcBorders>
              <w:top w:val="single" w:color="9898C0" w:sz="1"/>
              <w:left w:val="single" w:color="9898C0" w:sz="1"/>
              <w:bottom w:val="single" w:color="9898C0" w:sz="1"/>
              <w:right w:val="single" w:color="9898C0" w:sz="1"/>
            </w:tcBorders>
            <w:shd w:fill="FFFFFF"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First excess layer above the primary BOP. Provides $4M of additional coverage above the standard $1M BOP limit. The most commonly used excess BOP structure for small-to-mid businesses.</w:t>
            </w:r>
          </w:p>
        </w:tc>
      </w:tr>
      <w:tr>
        <w:tc>
          <w:tcPr>
            <w:tcW w:type="dxa" w:w="2800"/>
            <w:tcBorders>
              <w:top w:val="none" w:color="FFFFFF" w:sz="0"/>
              <w:left w:val="none" w:color="FFFFFF" w:sz="0"/>
              <w:bottom w:val="none" w:color="FFFFFF" w:sz="0"/>
              <w:right w:val="none" w:color="FFFFFF" w:sz="0"/>
            </w:tcBorders>
            <w:shd w:fill="1A1E4A" w:val="clear"/>
            <w:tcMar>
              <w:top w:type="dxa" w:w="110"/>
              <w:left w:type="dxa" w:w="160"/>
              <w:bottom w:type="dxa" w:w="110"/>
              <w:right w:type="dxa" w:w="160"/>
            </w:tcMar>
          </w:tcPr>
          <w:p>
            <w:pPr>
              <w:spacing w:after="30" w:before="0"/>
            </w:pPr>
            <w:r>
              <w:rPr>
                <w:rFonts w:ascii="Arial" w:cs="Arial" w:eastAsia="Arial" w:hAnsi="Arial"/>
                <w:b/>
                <w:bCs/>
                <w:color w:val="FFFFFF"/>
                <w:sz w:val="21"/>
                <w:szCs w:val="21"/>
              </w:rPr>
              <w:t xml:space="preserve">Primary BOP</w:t>
            </w:r>
          </w:p>
          <w:p>
            <w:pPr>
              <w:spacing w:after="0" w:before="0"/>
            </w:pPr>
            <w:r>
              <w:rPr>
                <w:rFonts w:ascii="Arial" w:cs="Arial" w:eastAsia="Arial" w:hAnsi="Arial"/>
                <w:b/>
                <w:bCs/>
                <w:color w:val="A8ACCC"/>
                <w:sz w:val="19"/>
                <w:szCs w:val="19"/>
              </w:rPr>
              <w:t xml:space="preserve">$1M per occ / $2M agg</w:t>
            </w:r>
          </w:p>
        </w:tc>
        <w:tc>
          <w:tcPr>
            <w:tcW w:type="dxa" w:w="656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Foundation BOP: commercial property, CGL, business income. Responds from dollar one. $1M per occurrence / $2M aggregate. Insurer actively manages all claims.</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The Attachment Point and Underlying Limit Maintenance</w:t>
      </w:r>
    </w:p>
    <w:p>
      <w:pPr>
        <w:spacing w:after="110" w:before="80"/>
      </w:pPr>
      <w:r>
        <w:rPr>
          <w:rFonts w:ascii="Arial" w:cs="Arial" w:eastAsia="Arial" w:hAnsi="Arial"/>
          <w:color w:val="0C1020"/>
          <w:sz w:val="22"/>
          <w:szCs w:val="22"/>
        </w:rPr>
        <w:t xml:space="preserve">The excess BOP policy’s attachment point — the level at which it begins paying — is set at the primary BOP’s per-occurrence liability limit. For the standard BOP with a $1 million per-occurrence limit, the excess attaches at $1 million. For a BOP with a $2 million per-occurrence limit (available from some carriers for higher-hazard BOP classes), the excess attaches at $2 million.</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Maintaining the required underlying BOP limit throughout the policy period is a condition of the excess BOP coverage. If the BOP’s aggregate limit is substantially eroded by multiple claims during the year, the effective attachment point of the excess BOP may be lower than its stated attachment point. Business owners who experience multiple significant claims in a single year should consult their broker about the impact on excess layer attachment and whether aggregate reinstatement is warranted.</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Coordinating Renewal Dates</w:t>
      </w:r>
    </w:p>
    <w:p>
      <w:pPr>
        <w:spacing w:after="110" w:before="80"/>
      </w:pPr>
      <w:r>
        <w:rPr>
          <w:rFonts w:ascii="Arial" w:cs="Arial" w:eastAsia="Arial" w:hAnsi="Arial"/>
          <w:color w:val="0C1020"/>
          <w:sz w:val="22"/>
          <w:szCs w:val="22"/>
        </w:rPr>
        <w:t xml:space="preserve">Best practice for any layered insurance program is to have the primary and excess layers renew on the same date. When the BOP and excess BOP have concurrent inception and expiration dates, there is no risk of a gap in protection between policy periods, and the renewal process can be managed comprehensively. Staggered renewal dates create administrative complexity and potential coverage gaps at renewal transitions.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The excess BOP layers seamlessly over the primary BOP when the programs are properly structured with matching attachment points, concurrent renewal dates, and consistent policy terms. A mismatch in any of these elements creates potential coverage gaps that will be discovered only when a large claim occurs and two carriers disagree about which policy responds first.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5.  </w:t>
            </w:r>
            <w:r>
              <w:rPr>
                <w:rFonts w:ascii="Arial" w:cs="Arial" w:eastAsia="Arial" w:hAnsi="Arial"/>
                <w:b/>
                <w:bCs/>
                <w:color w:val="FFFFFF"/>
                <w:sz w:val="28"/>
                <w:szCs w:val="28"/>
              </w:rPr>
              <w:t xml:space="preserve">Why Standard BOP Limits Are Often Insufficient</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The standard BOP’s $1 million per-occurrence / $2 million aggregate liability limit was designed for the median small business with modest revenue, limited customer interaction, and a relatively low-hazard risk profile. For many businesses — particularly those that have grown, serve large numbers of customers, manufacture or sell physical products, or operate in high-litigation environments — these standard limits are materially inadequate for realistic worst-case claim scenarios.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Why $1 Million Is Often Not Enough</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3070"/>
          <w:sz w:val="22"/>
          <w:szCs w:val="22"/>
        </w:rPr>
        <w:t xml:space="preserve">Serious bodily injury claims — </w:t>
      </w:r>
      <w:r>
        <w:rPr>
          <w:rFonts w:ascii="Arial" w:cs="Arial" w:eastAsia="Arial" w:hAnsi="Arial"/>
          <w:color w:val="283040"/>
          <w:sz w:val="22"/>
          <w:szCs w:val="22"/>
        </w:rPr>
        <w:t xml:space="preserve">a customer who sustains permanent disability from a slip and fall at a business premises can generate a claim of $2–5 million or more when lifetime medical costs, lost earning capacity, and non-economic damages are factored in; this single claim exhausts the $1M BOP limit and leaves the business exposed for the remaining amount</w:t>
      </w:r>
    </w:p>
    <w:p>
      <w:pPr>
        <w:pStyle w:val="ListParagraph"/>
        <w:numPr>
          <w:ilvl w:val="0"/>
          <w:numId w:val="2"/>
        </w:numPr>
        <w:spacing w:after="60" w:before="60"/>
      </w:pPr>
      <w:r>
        <w:rPr>
          <w:rFonts w:ascii="Arial" w:cs="Arial" w:eastAsia="Arial" w:hAnsi="Arial"/>
          <w:b/>
          <w:bCs/>
          <w:color w:val="2A3070"/>
          <w:sz w:val="22"/>
          <w:szCs w:val="22"/>
        </w:rPr>
        <w:t xml:space="preserve">Product liability scenarios — </w:t>
      </w:r>
      <w:r>
        <w:rPr>
          <w:rFonts w:ascii="Arial" w:cs="Arial" w:eastAsia="Arial" w:hAnsi="Arial"/>
          <w:color w:val="283040"/>
          <w:sz w:val="22"/>
          <w:szCs w:val="22"/>
        </w:rPr>
        <w:t xml:space="preserve">a food safety incident, a defective product that injures multiple consumers, or a product recall can generate aggregate claims far exceeding $1–2 million; small manufacturers, food producers, and consumer goods companies routinely face multi-million-dollar product claims</w:t>
      </w:r>
    </w:p>
    <w:p>
      <w:pPr>
        <w:pStyle w:val="ListParagraph"/>
        <w:numPr>
          <w:ilvl w:val="0"/>
          <w:numId w:val="2"/>
        </w:numPr>
        <w:spacing w:after="60" w:before="60"/>
      </w:pPr>
      <w:r>
        <w:rPr>
          <w:rFonts w:ascii="Arial" w:cs="Arial" w:eastAsia="Arial" w:hAnsi="Arial"/>
          <w:b/>
          <w:bCs/>
          <w:color w:val="2A3070"/>
          <w:sz w:val="22"/>
          <w:szCs w:val="22"/>
        </w:rPr>
        <w:t xml:space="preserve">Multi-plaintiff incidents — </w:t>
      </w:r>
      <w:r>
        <w:rPr>
          <w:rFonts w:ascii="Arial" w:cs="Arial" w:eastAsia="Arial" w:hAnsi="Arial"/>
          <w:color w:val="283040"/>
          <w:sz w:val="22"/>
          <w:szCs w:val="22"/>
        </w:rPr>
        <w:t xml:space="preserve">an incident that injures multiple people — a food poisoning outbreak at a restaurant, a structural failure at a retail location, or a commercial vehicle accident — can generate multiple large claims simultaneously that quickly exhaust both the per-occurrence limit and the aggregate</w:t>
      </w:r>
    </w:p>
    <w:p>
      <w:pPr>
        <w:pStyle w:val="ListParagraph"/>
        <w:numPr>
          <w:ilvl w:val="0"/>
          <w:numId w:val="2"/>
        </w:numPr>
        <w:spacing w:after="60" w:before="60"/>
      </w:pPr>
      <w:r>
        <w:rPr>
          <w:rFonts w:ascii="Arial" w:cs="Arial" w:eastAsia="Arial" w:hAnsi="Arial"/>
          <w:b/>
          <w:bCs/>
          <w:color w:val="2A3070"/>
          <w:sz w:val="22"/>
          <w:szCs w:val="22"/>
        </w:rPr>
        <w:t xml:space="preserve">Legal defense cost escalation — </w:t>
      </w:r>
      <w:r>
        <w:rPr>
          <w:rFonts w:ascii="Arial" w:cs="Arial" w:eastAsia="Arial" w:hAnsi="Arial"/>
          <w:color w:val="283040"/>
          <w:sz w:val="22"/>
          <w:szCs w:val="22"/>
        </w:rPr>
        <w:t xml:space="preserve">even if a claim does not ultimately result in a large judgment, the cost of defending against a serious personal injury lawsuit can reach $100,000–$500,000 before trial; defense costs consume the BOP’s limit alongside any judgment or settlement</w:t>
      </w:r>
    </w:p>
    <w:p>
      <w:pPr>
        <w:pStyle w:val="ListParagraph"/>
        <w:numPr>
          <w:ilvl w:val="0"/>
          <w:numId w:val="2"/>
        </w:numPr>
        <w:spacing w:after="60" w:before="60"/>
      </w:pPr>
      <w:r>
        <w:rPr>
          <w:rFonts w:ascii="Arial" w:cs="Arial" w:eastAsia="Arial" w:hAnsi="Arial"/>
          <w:b/>
          <w:bCs/>
          <w:color w:val="2A3070"/>
          <w:sz w:val="22"/>
          <w:szCs w:val="22"/>
        </w:rPr>
        <w:t xml:space="preserve">Nuclear verdict environment — </w:t>
      </w:r>
      <w:r>
        <w:rPr>
          <w:rFonts w:ascii="Arial" w:cs="Arial" w:eastAsia="Arial" w:hAnsi="Arial"/>
          <w:color w:val="283040"/>
          <w:sz w:val="22"/>
          <w:szCs w:val="22"/>
        </w:rPr>
        <w:t xml:space="preserve">in recent years, plaintiff attorneys have become increasingly successful in obtaining “nuclear verdicts” — judgments of $10 million or more — in cases involving perceived corporate negligence; even small businesses are not immune from plaintiff strategies that target the business’s apparent resources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Property Limit Inadequacy</w:t>
      </w:r>
    </w:p>
    <w:p>
      <w:pPr>
        <w:spacing w:after="110" w:before="80"/>
      </w:pPr>
      <w:r>
        <w:rPr>
          <w:rFonts w:ascii="Arial" w:cs="Arial" w:eastAsia="Arial" w:hAnsi="Arial"/>
          <w:color w:val="0C1020"/>
          <w:sz w:val="22"/>
          <w:szCs w:val="22"/>
        </w:rPr>
        <w:t xml:space="preserve">BOP property limits are often set below the true replacement cost of the business’s physical assets. Rapid construction cost inflation, the accumulation of new equipment over time, and the underestimation of leasehold improvement values all contribute to BOP property limits that are structurally underinsured. When a fire, storm, or other covered event destroys the business’s property, the BOP’s property limit may cover only a fraction of the true replacement cost.</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A4858" w:sz="18"/>
              <w:bottom w:val="none" w:color="FFFFFF" w:sz="0"/>
              <w:right w:val="none" w:color="FFFFFF" w:sz="0"/>
            </w:tcBorders>
            <w:shd w:fill="E5F3F7" w:val="clear"/>
            <w:tcMar>
              <w:top w:type="dxa" w:w="110"/>
              <w:left w:type="dxa" w:w="200"/>
              <w:bottom w:type="dxa" w:w="110"/>
              <w:right w:type="dxa" w:w="160"/>
            </w:tcMar>
          </w:tcPr>
          <w:p>
            <w:pPr>
              <w:spacing w:after="60" w:before="0"/>
            </w:pPr>
            <w:r>
              <w:rPr>
                <w:rFonts w:ascii="Arial" w:cs="Arial" w:eastAsia="Arial" w:hAnsi="Arial"/>
                <w:b/>
                <w:bCs/>
                <w:caps/>
                <w:color w:val="0A4858"/>
                <w:sz w:val="19"/>
                <w:szCs w:val="19"/>
              </w:rPr>
              <w:t xml:space="preserve">The Coinsurance Penalty in Action</w:t>
            </w:r>
          </w:p>
          <w:p>
            <w:pPr>
              <w:spacing w:after="0" w:before="0"/>
            </w:pPr>
            <w:r>
              <w:rPr>
                <w:rFonts w:ascii="Arial" w:cs="Arial" w:eastAsia="Arial" w:hAnsi="Arial"/>
                <w:color w:val="0A2830"/>
                <w:sz w:val="20"/>
                <w:szCs w:val="20"/>
              </w:rPr>
              <w:t xml:space="preserve">A retail store has $800,000 in total business personal property but set their BOP property limit at $400,000 to save on premium. The BOP has an 80% coinsurance requirement ($640,000 required). A fire causes $350,000 in losses. Because the business is insured at only $400,000 out of a required $640,000, the insurer applies the coinsurance formula: ($400,000 / $640,000) x $350,000 = $218,750. The business receives only $218,750 on a $350,000 loss — and owes $131,250 out of pocket. An excess BOP with adequate total limits would have eliminated this gap.</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The standard BOP’s modest limits are a starting point, not a destination. Every BOP-insured business should evaluate its realistic worst-case claim scenario — both for liability and property — and determine whether an excess BOP layer is needed to cover the gap between the BOP’s limits and the actual financial exposure.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6.  </w:t>
            </w:r>
            <w:r>
              <w:rPr>
                <w:rFonts w:ascii="Arial" w:cs="Arial" w:eastAsia="Arial" w:hAnsi="Arial"/>
                <w:b/>
                <w:bCs/>
                <w:color w:val="FFFFFF"/>
                <w:sz w:val="28"/>
                <w:szCs w:val="28"/>
              </w:rPr>
              <w:t xml:space="preserve">Who Needs Excess BOP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Excess BOP insurance is appropriate for any BOP-insured business where the standard BOP’s liability or property limits are insufficient to cover the business’s realistic worst-case claim scenario. This encompasses a broader range of businesses than many owners realize — the BOP’s $1 million per-occurrence limit is a modest floor, not an adequate ceiling, for most businesses of any meaningful scale.</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Who Clearly Needs Excess BOP Coverage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3070"/>
          <w:sz w:val="22"/>
          <w:szCs w:val="22"/>
        </w:rPr>
        <w:t xml:space="preserve">Restaurants and food service — </w:t>
      </w:r>
      <w:r>
        <w:rPr>
          <w:rFonts w:ascii="Arial" w:cs="Arial" w:eastAsia="Arial" w:hAnsi="Arial"/>
          <w:color w:val="283040"/>
          <w:sz w:val="22"/>
          <w:szCs w:val="22"/>
        </w:rPr>
        <w:t xml:space="preserve">food service businesses face product liability risk from foodborne illness, premises liability from a high volume of customer traffic, and liquor liability if they serve alcohol; a serious food safety incident or patron injury can easily generate claims exceeding $1 million</w:t>
      </w:r>
    </w:p>
    <w:p>
      <w:pPr>
        <w:pStyle w:val="ListParagraph"/>
        <w:numPr>
          <w:ilvl w:val="0"/>
          <w:numId w:val="2"/>
        </w:numPr>
        <w:spacing w:after="60" w:before="60"/>
      </w:pPr>
      <w:r>
        <w:rPr>
          <w:rFonts w:ascii="Arial" w:cs="Arial" w:eastAsia="Arial" w:hAnsi="Arial"/>
          <w:b/>
          <w:bCs/>
          <w:color w:val="2A3070"/>
          <w:sz w:val="22"/>
          <w:szCs w:val="22"/>
        </w:rPr>
        <w:t xml:space="preserve">Retailers with high customer traffic — </w:t>
      </w:r>
      <w:r>
        <w:rPr>
          <w:rFonts w:ascii="Arial" w:cs="Arial" w:eastAsia="Arial" w:hAnsi="Arial"/>
          <w:color w:val="283040"/>
          <w:sz w:val="22"/>
          <w:szCs w:val="22"/>
        </w:rPr>
        <w:t xml:space="preserve">high-volume retail locations with significant foot traffic have proportionally higher premises liability exposure; the probability of a serious slip-and-fall or other premises incident is directly related to customer traffic volume</w:t>
      </w:r>
    </w:p>
    <w:p>
      <w:pPr>
        <w:pStyle w:val="ListParagraph"/>
        <w:numPr>
          <w:ilvl w:val="0"/>
          <w:numId w:val="2"/>
        </w:numPr>
        <w:spacing w:after="60" w:before="60"/>
      </w:pPr>
      <w:r>
        <w:rPr>
          <w:rFonts w:ascii="Arial" w:cs="Arial" w:eastAsia="Arial" w:hAnsi="Arial"/>
          <w:b/>
          <w:bCs/>
          <w:color w:val="2A3070"/>
          <w:sz w:val="22"/>
          <w:szCs w:val="22"/>
        </w:rPr>
        <w:t xml:space="preserve">Light manufacturers and product sellers — </w:t>
      </w:r>
      <w:r>
        <w:rPr>
          <w:rFonts w:ascii="Arial" w:cs="Arial" w:eastAsia="Arial" w:hAnsi="Arial"/>
          <w:color w:val="283040"/>
          <w:sz w:val="22"/>
          <w:szCs w:val="22"/>
        </w:rPr>
        <w:t xml:space="preserve">any business that manufactures, distributes, or sells physical products that could injure a consumer needs product liability limits well above the standard BOP threshold; a single product defect affecting multiple consumers can exhaust the BOP aggregate in one incident</w:t>
      </w:r>
    </w:p>
    <w:p>
      <w:pPr>
        <w:pStyle w:val="ListParagraph"/>
        <w:numPr>
          <w:ilvl w:val="0"/>
          <w:numId w:val="2"/>
        </w:numPr>
        <w:spacing w:after="60" w:before="60"/>
      </w:pPr>
      <w:r>
        <w:rPr>
          <w:rFonts w:ascii="Arial" w:cs="Arial" w:eastAsia="Arial" w:hAnsi="Arial"/>
          <w:b/>
          <w:bCs/>
          <w:color w:val="2A3070"/>
          <w:sz w:val="22"/>
          <w:szCs w:val="22"/>
        </w:rPr>
        <w:t xml:space="preserve">Contractors with customer site access — </w:t>
      </w:r>
      <w:r>
        <w:rPr>
          <w:rFonts w:ascii="Arial" w:cs="Arial" w:eastAsia="Arial" w:hAnsi="Arial"/>
          <w:color w:val="283040"/>
          <w:sz w:val="22"/>
          <w:szCs w:val="22"/>
        </w:rPr>
        <w:t xml:space="preserve">contractors, installers, and service businesses that work at customer locations face completed operations liability for their work; a construction defect, an improperly installed system, or a worksite accident can generate claims of $2–10 million</w:t>
      </w:r>
    </w:p>
    <w:p>
      <w:pPr>
        <w:pStyle w:val="ListParagraph"/>
        <w:numPr>
          <w:ilvl w:val="0"/>
          <w:numId w:val="2"/>
        </w:numPr>
        <w:spacing w:after="60" w:before="60"/>
      </w:pPr>
      <w:r>
        <w:rPr>
          <w:rFonts w:ascii="Arial" w:cs="Arial" w:eastAsia="Arial" w:hAnsi="Arial"/>
          <w:b/>
          <w:bCs/>
          <w:color w:val="2A3070"/>
          <w:sz w:val="22"/>
          <w:szCs w:val="22"/>
        </w:rPr>
        <w:t xml:space="preserve">Property owners with high-value assets — </w:t>
      </w:r>
      <w:r>
        <w:rPr>
          <w:rFonts w:ascii="Arial" w:cs="Arial" w:eastAsia="Arial" w:hAnsi="Arial"/>
          <w:color w:val="283040"/>
          <w:sz w:val="22"/>
          <w:szCs w:val="22"/>
        </w:rPr>
        <w:t xml:space="preserve">BOP-insured businesses that own or lease significant property — specialty equipment, high-value inventory, custom leasehold improvements — may find BOP property limits inadequate for a total loss scenario</w:t>
      </w:r>
    </w:p>
    <w:p>
      <w:pPr>
        <w:pStyle w:val="ListParagraph"/>
        <w:numPr>
          <w:ilvl w:val="0"/>
          <w:numId w:val="2"/>
        </w:numPr>
        <w:spacing w:after="60" w:before="60"/>
      </w:pPr>
      <w:r>
        <w:rPr>
          <w:rFonts w:ascii="Arial" w:cs="Arial" w:eastAsia="Arial" w:hAnsi="Arial"/>
          <w:b/>
          <w:bCs/>
          <w:color w:val="2A3070"/>
          <w:sz w:val="22"/>
          <w:szCs w:val="22"/>
        </w:rPr>
        <w:t xml:space="preserve">Businesses in litigation-prone markets — </w:t>
      </w:r>
      <w:r>
        <w:rPr>
          <w:rFonts w:ascii="Arial" w:cs="Arial" w:eastAsia="Arial" w:hAnsi="Arial"/>
          <w:color w:val="283040"/>
          <w:sz w:val="22"/>
          <w:szCs w:val="22"/>
        </w:rPr>
        <w:t xml:space="preserve">businesses operating in large metropolitan areas, states with high jury awards (California, New York, Florida, Illinois), or industries with active plaintiff bar activity face higher realistic verdict exposure that justifies higher excess limits</w:t>
      </w:r>
    </w:p>
    <w:p>
      <w:pPr>
        <w:pStyle w:val="ListParagraph"/>
        <w:numPr>
          <w:ilvl w:val="0"/>
          <w:numId w:val="2"/>
        </w:numPr>
        <w:spacing w:after="60" w:before="60"/>
      </w:pPr>
      <w:r>
        <w:rPr>
          <w:rFonts w:ascii="Arial" w:cs="Arial" w:eastAsia="Arial" w:hAnsi="Arial"/>
          <w:b/>
          <w:bCs/>
          <w:color w:val="2A3070"/>
          <w:sz w:val="22"/>
          <w:szCs w:val="22"/>
        </w:rPr>
        <w:t xml:space="preserve">Businesses with contractual limit requirements — </w:t>
      </w:r>
      <w:r>
        <w:rPr>
          <w:rFonts w:ascii="Arial" w:cs="Arial" w:eastAsia="Arial" w:hAnsi="Arial"/>
          <w:color w:val="283040"/>
          <w:sz w:val="22"/>
          <w:szCs w:val="22"/>
        </w:rPr>
        <w:t xml:space="preserve">many commercial contracts — commercial leases, service agreements, vendor contracts — require the business to carry minimum liability limits of $2–5 million or more; excess BOP is needed to satisfy these contractual requirements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A Simple Excess BOP Needs Assessment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What is your worst realistic liability claim?</w:t>
            </w:r>
          </w:p>
          <w:p>
            <w:pPr>
              <w:spacing w:after="0" w:before="0"/>
            </w:pPr>
            <w:r>
              <w:rPr>
                <w:rFonts w:ascii="Arial" w:cs="Arial" w:eastAsia="Arial" w:hAnsi="Arial"/>
                <w:color w:val="283040"/>
                <w:sz w:val="20"/>
                <w:szCs w:val="20"/>
              </w:rPr>
              <w:t xml:space="preserve">Estimate the maximum realistic liability claim from your most significant risk scenario — a serious injury at your location, a product defect affecting multiple customers, a worksite accident. If that estimate exceeds $1 million, you need excess BOP.</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Do your contracts require higher limits?</w:t>
            </w:r>
          </w:p>
          <w:p>
            <w:pPr>
              <w:spacing w:after="0" w:before="0"/>
            </w:pPr>
            <w:r>
              <w:rPr>
                <w:rFonts w:ascii="Arial" w:cs="Arial" w:eastAsia="Arial" w:hAnsi="Arial"/>
                <w:color w:val="283040"/>
                <w:sz w:val="20"/>
                <w:szCs w:val="20"/>
              </w:rPr>
              <w:t xml:space="preserve">Review every significant commercial contract and lease to identify liability limit requirements. If any contract requires more than $1 million per occurrence, you need excess BOP to satisfy the contractual requirement.</w:t>
            </w:r>
          </w:p>
        </w:tc>
      </w:tr>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What is the true replacement cost of your property?</w:t>
            </w:r>
          </w:p>
          <w:p>
            <w:pPr>
              <w:spacing w:after="0" w:before="0"/>
            </w:pPr>
            <w:r>
              <w:rPr>
                <w:rFonts w:ascii="Arial" w:cs="Arial" w:eastAsia="Arial" w:hAnsi="Arial"/>
                <w:color w:val="283040"/>
                <w:sz w:val="20"/>
                <w:szCs w:val="20"/>
              </w:rPr>
              <w:t xml:space="preserve">Calculate the actual replacement cost of your building improvements, equipment, and inventory. If that total exceeds your BOP property limit, you are underinsured and should adjust your BOP limit or add excess property coverage.</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What assets are at risk from a judgment?</w:t>
            </w:r>
          </w:p>
          <w:p>
            <w:pPr>
              <w:spacing w:after="0" w:before="0"/>
            </w:pPr>
            <w:r>
              <w:rPr>
                <w:rFonts w:ascii="Arial" w:cs="Arial" w:eastAsia="Arial" w:hAnsi="Arial"/>
                <w:color w:val="283040"/>
                <w:sz w:val="20"/>
                <w:szCs w:val="20"/>
              </w:rPr>
              <w:t xml:space="preserve">A business owner’s personal assets — savings, real estate, retirement accounts — can be at risk from a personal guarantee or from piercing the corporate veil in a judgment against the business. The higher your personal net worth, the stronger the case for higher excess limits.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7.  </w:t>
            </w:r>
            <w:r>
              <w:rPr>
                <w:rFonts w:ascii="Arial" w:cs="Arial" w:eastAsia="Arial" w:hAnsi="Arial"/>
                <w:b/>
                <w:bCs/>
                <w:color w:val="FFFFFF"/>
                <w:sz w:val="28"/>
                <w:szCs w:val="28"/>
              </w:rPr>
              <w:t xml:space="preserve">Difference Between Excess BOP and Commercial Umbrella</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Excess BOP insurance and commercial umbrella insurance are both liability products that sit above primary coverage and provide additional limits — but they have structural differences that affect their coverage breadth, their relationship to underlying policies, and their suitability for different business situations. Understanding these differences helps business owners choose the right solution for their specific needs.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0141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A30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BOP</w:t>
            </w:r>
          </w:p>
        </w:tc>
        <w:tc>
          <w:tcPr>
            <w:tcW w:type="dxa" w:w="3330"/>
            <w:tcBorders>
              <w:top w:val="none" w:color="FFFFFF" w:sz="0"/>
              <w:left w:val="none" w:color="FFFFFF" w:sz="0"/>
              <w:bottom w:val="none" w:color="FFFFFF" w:sz="0"/>
              <w:right w:val="none" w:color="FFFFFF" w:sz="0"/>
            </w:tcBorders>
            <w:shd w:fill="2A30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Commercial Umbrella</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Coverage breadth</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Mirrors underlying BOP — same terms</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Broader; may cover gaps not in underlying</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Drop-down coverage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No — requires BOP to respond first</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Yes — can drop down for coverage gaps in BOP</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Underlying policies</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Sits above BOP only</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Sits above BOP + commercial auto + WC Part Two</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Policy form</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Follow-form or manuscript</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Broader form; own terms with drop-down</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Self-insured retention</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No additional SIR (typically)</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May have SIR for drop-down / uncovered claims</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Limits available</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$1M–10M+ per layer above BOP</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$1M–5M typical for small-mid market</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Best for</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Additional limits above BOP only; matching form</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Multiple underlying policies; gap-filling needed</w:t>
            </w:r>
          </w:p>
        </w:tc>
      </w:tr>
      <w:tr>
        <w:tc>
          <w:tcPr>
            <w:tcW w:type="dxa" w:w="290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Market</w:t>
            </w:r>
          </w:p>
        </w:tc>
        <w:tc>
          <w:tcPr>
            <w:tcW w:type="dxa" w:w="31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Specialty / surplus lines common</w:t>
            </w:r>
          </w:p>
        </w:tc>
        <w:tc>
          <w:tcPr>
            <w:tcW w:type="dxa" w:w="3330"/>
            <w:tcBorders>
              <w:top w:val="single" w:color="9898C0" w:sz="1"/>
              <w:left w:val="single" w:color="9898C0" w:sz="1"/>
              <w:bottom w:val="single" w:color="9898C0" w:sz="1"/>
              <w:right w:val="single" w:color="9898C0" w:sz="1"/>
            </w:tcBorders>
            <w:shd w:fill="EAECF5"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Standard commercial market widely available</w:t>
            </w:r>
          </w:p>
        </w:tc>
      </w:tr>
      <w:tr>
        <w:tc>
          <w:tcPr>
            <w:tcW w:type="dxa" w:w="290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bCs/>
                <w:color w:val="0C1020"/>
                <w:sz w:val="20"/>
                <w:szCs w:val="20"/>
              </w:rPr>
              <w:t xml:space="preserve">Premium comparison</w:t>
            </w:r>
          </w:p>
        </w:tc>
        <w:tc>
          <w:tcPr>
            <w:tcW w:type="dxa" w:w="31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Often lower for pure excess over BOP</w:t>
            </w:r>
          </w:p>
        </w:tc>
        <w:tc>
          <w:tcPr>
            <w:tcW w:type="dxa" w:w="3330"/>
            <w:tcBorders>
              <w:top w:val="single" w:color="9898C0" w:sz="1"/>
              <w:left w:val="single" w:color="9898C0" w:sz="1"/>
              <w:bottom w:val="single" w:color="9898C0" w:sz="1"/>
              <w:right w:val="single" w:color="989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040"/>
                <w:sz w:val="20"/>
                <w:szCs w:val="20"/>
              </w:rPr>
              <w:t xml:space="preserve">Slightly higher; accounts for broader drop-down</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When to Choose Excess BOP Over Commercial Umbrella</w:t>
      </w:r>
    </w:p>
    <w:p>
      <w:pPr>
        <w:spacing w:after="110" w:before="80"/>
      </w:pPr>
      <w:r>
        <w:rPr>
          <w:rFonts w:ascii="Arial" w:cs="Arial" w:eastAsia="Arial" w:hAnsi="Arial"/>
          <w:color w:val="0C1020"/>
          <w:sz w:val="22"/>
          <w:szCs w:val="22"/>
        </w:rPr>
        <w:t xml:space="preserve">For businesses that operate primarily under a BOP and do not have multiple separate underlying liability policies (commercial auto, WC Part Two), a dedicated excess BOP layer is often a simpler and more cost-effective solution than a commercial umbrella. The excess BOP is specifically designed to extend the BOP’s limits in a consistent, follow-form manner that creates a clean coverage tower.</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A commercial umbrella becomes the preferred choice when a business has multiple underlying liability policies that it wants to cover with a single overlying policy. A business with a BOP, commercial auto, and employer’s liability coverage can use a commercial umbrella to sit above all three, providing both additional limits and drop-down protection across the full commercial liability program. The umbrella’s breadth and drop-down provision make it more efficient than purchasing a separate excess layer for each underlying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5A18" w:sz="18"/>
              <w:bottom w:val="none" w:color="FFFFFF" w:sz="0"/>
              <w:right w:val="none" w:color="FFFFFF" w:sz="0"/>
            </w:tcBorders>
            <w:shd w:fill="FAF5E8" w:val="clear"/>
            <w:tcMar>
              <w:top w:type="dxa" w:w="110"/>
              <w:left w:type="dxa" w:w="200"/>
              <w:bottom w:type="dxa" w:w="110"/>
              <w:right w:type="dxa" w:w="160"/>
            </w:tcMar>
          </w:tcPr>
          <w:p>
            <w:pPr>
              <w:spacing w:after="60" w:before="0"/>
            </w:pPr>
            <w:r>
              <w:rPr>
                <w:rFonts w:ascii="Arial" w:cs="Arial" w:eastAsia="Arial" w:hAnsi="Arial"/>
                <w:b/>
                <w:bCs/>
                <w:caps/>
                <w:color w:val="6A4200"/>
                <w:sz w:val="19"/>
                <w:szCs w:val="19"/>
              </w:rPr>
              <w:t xml:space="preserve">Can a Business Have Both?</w:t>
            </w:r>
          </w:p>
          <w:p>
            <w:pPr>
              <w:spacing w:after="0" w:before="0"/>
            </w:pPr>
            <w:r>
              <w:rPr>
                <w:rFonts w:ascii="Arial" w:cs="Arial" w:eastAsia="Arial" w:hAnsi="Arial"/>
                <w:color w:val="4A2800"/>
                <w:sz w:val="20"/>
                <w:szCs w:val="20"/>
              </w:rPr>
              <w:t xml:space="preserve">Yes — and some businesses benefit from both structures. A common arrangement for a mid-size BOP-insured business is to carry a commercial umbrella above the BOP, commercial auto, and WC Part Two, and then add an excess liability layer above the umbrella for additional total limits. This layered structure provides both the umbrella’s breadth and drop-down protection AND the additional capacity of pure excess layers above it.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8.  </w:t>
            </w:r>
            <w:r>
              <w:rPr>
                <w:rFonts w:ascii="Arial" w:cs="Arial" w:eastAsia="Arial" w:hAnsi="Arial"/>
                <w:b/>
                <w:bCs/>
                <w:color w:val="FFFFFF"/>
                <w:sz w:val="28"/>
                <w:szCs w:val="28"/>
              </w:rPr>
              <w:t xml:space="preserve">Follow-Form Excess vs. Manuscript Excess BOP Policies</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When an excess BOP policy is structured, one of the most important decisions is whether the policy will be written as a follow-form excess policy or a manuscript excess policy. This choice determines the terms and conditions under which the excess layer will respond to claims — and whether the excess coverage is genuinely consistent with the primary BOP’s protection.</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1E4A" w:val="clear"/>
            <w:tcMar>
              <w:top w:type="dxa" w:w="120"/>
              <w:left w:type="dxa" w:w="160"/>
              <w:bottom w:type="dxa" w:w="40"/>
              <w:right w:type="dxa" w:w="160"/>
            </w:tcMar>
          </w:tcPr>
          <w:p>
            <w:pPr>
              <w:spacing w:after="0" w:before="0"/>
              <w:jc w:val="center"/>
            </w:pPr>
            <w:r>
              <w:rPr>
                <w:rFonts w:ascii="Arial" w:cs="Arial" w:eastAsia="Arial" w:hAnsi="Arial"/>
                <w:b/>
                <w:bCs/>
                <w:color w:val="FFFFFF"/>
                <w:sz w:val="23"/>
                <w:szCs w:val="23"/>
              </w:rPr>
              <w:t xml:space="preserve">FOLLOW-FORM EXCESS BOP</w:t>
            </w:r>
          </w:p>
        </w:tc>
        <w:tc>
          <w:tcPr>
            <w:tcW w:type="dxa" w:w="4620"/>
            <w:tcBorders>
              <w:top w:val="none" w:color="FFFFFF" w:sz="0"/>
              <w:left w:val="none" w:color="FFFFFF" w:sz="0"/>
              <w:bottom w:val="none" w:color="FFFFFF" w:sz="0"/>
              <w:right w:val="none" w:color="FFFFFF" w:sz="0"/>
            </w:tcBorders>
            <w:shd w:fill="6A4200" w:val="clear"/>
            <w:tcMar>
              <w:top w:type="dxa" w:w="120"/>
              <w:left w:type="dxa" w:w="160"/>
              <w:bottom w:type="dxa" w:w="40"/>
              <w:right w:type="dxa" w:w="160"/>
            </w:tcMar>
          </w:tcPr>
          <w:p>
            <w:pPr>
              <w:spacing w:after="0" w:before="0"/>
              <w:jc w:val="center"/>
            </w:pPr>
            <w:r>
              <w:rPr>
                <w:rFonts w:ascii="Arial" w:cs="Arial" w:eastAsia="Arial" w:hAnsi="Arial"/>
                <w:b/>
                <w:bCs/>
                <w:color w:val="FFFFFF"/>
                <w:sz w:val="23"/>
                <w:szCs w:val="23"/>
              </w:rPr>
              <w:t xml:space="preserve">MANUSCRIPT EXCESS BOP</w:t>
            </w:r>
          </w:p>
        </w:tc>
      </w:tr>
      <w:tr>
        <w:tc>
          <w:tcPr>
            <w:tcW w:type="dxa" w:w="462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60" w:before="0"/>
            </w:pPr>
            <w:r>
              <w:rPr>
                <w:rFonts w:ascii="Arial" w:cs="Arial" w:eastAsia="Arial" w:hAnsi="Arial"/>
                <w:b/>
                <w:bCs/>
                <w:color w:val="1A1E4A"/>
                <w:sz w:val="20"/>
                <w:szCs w:val="20"/>
              </w:rPr>
              <w:t xml:space="preserve">Coverage terms: adopts underlying BOP form</w:t>
            </w:r>
          </w:p>
          <w:p>
            <w:pPr>
              <w:spacing w:after="60" w:before="0"/>
            </w:pPr>
            <w:r>
              <w:rPr>
                <w:rFonts w:ascii="Arial" w:cs="Arial" w:eastAsia="Arial" w:hAnsi="Arial"/>
                <w:color w:val="283040"/>
                <w:sz w:val="20"/>
                <w:szCs w:val="20"/>
              </w:rPr>
              <w:t xml:space="preserve">Coverage gaps vs. BOP: generally none</w:t>
            </w:r>
          </w:p>
          <w:p>
            <w:pPr>
              <w:spacing w:after="60" w:before="0"/>
            </w:pPr>
            <w:r>
              <w:rPr>
                <w:rFonts w:ascii="Arial" w:cs="Arial" w:eastAsia="Arial" w:hAnsi="Arial"/>
                <w:color w:val="283040"/>
                <w:sz w:val="20"/>
                <w:szCs w:val="20"/>
              </w:rPr>
              <w:t xml:space="preserve">Enhancements: none beyond BOP terms</w:t>
            </w:r>
          </w:p>
          <w:p>
            <w:pPr>
              <w:spacing w:after="60" w:before="0"/>
            </w:pPr>
            <w:r>
              <w:rPr>
                <w:rFonts w:ascii="Arial" w:cs="Arial" w:eastAsia="Arial" w:hAnsi="Arial"/>
                <w:color w:val="283040"/>
                <w:sz w:val="20"/>
                <w:szCs w:val="20"/>
              </w:rPr>
              <w:t xml:space="preserve">Policy complexity: simple; short form</w:t>
            </w:r>
          </w:p>
          <w:p>
            <w:pPr>
              <w:spacing w:after="60" w:before="0"/>
            </w:pPr>
            <w:r>
              <w:rPr>
                <w:rFonts w:ascii="Arial" w:cs="Arial" w:eastAsia="Arial" w:hAnsi="Arial"/>
                <w:color w:val="283040"/>
                <w:sz w:val="20"/>
                <w:szCs w:val="20"/>
              </w:rPr>
              <w:t xml:space="preserve">Best for: most small-medium businesses</w:t>
            </w:r>
          </w:p>
          <w:p>
            <w:pPr>
              <w:spacing w:after="0" w:before="0"/>
            </w:pPr>
            <w:r>
              <w:rPr>
                <w:rFonts w:ascii="Arial" w:cs="Arial" w:eastAsia="Arial" w:hAnsi="Arial"/>
                <w:b/>
                <w:bCs/>
                <w:color w:val="1A5C2A"/>
                <w:sz w:val="20"/>
                <w:szCs w:val="20"/>
              </w:rPr>
              <w:t xml:space="preserve">✓ Recommended default; clean consistency</w:t>
            </w:r>
          </w:p>
        </w:tc>
        <w:tc>
          <w:tcPr>
            <w:tcW w:type="dxa" w:w="4620"/>
            <w:tcBorders>
              <w:top w:val="single" w:color="9898C0" w:sz="1"/>
              <w:left w:val="single" w:color="9898C0" w:sz="1"/>
              <w:bottom w:val="single" w:color="9898C0" w:sz="1"/>
              <w:right w:val="single" w:color="9898C0" w:sz="1"/>
            </w:tcBorders>
            <w:shd w:fill="FAF5E8" w:val="clear"/>
            <w:tcMar>
              <w:top w:type="dxa" w:w="100"/>
              <w:left w:type="dxa" w:w="160"/>
              <w:bottom w:type="dxa" w:w="100"/>
              <w:right w:type="dxa" w:w="160"/>
            </w:tcMar>
          </w:tcPr>
          <w:p>
            <w:pPr>
              <w:spacing w:after="60" w:before="0"/>
            </w:pPr>
            <w:r>
              <w:rPr>
                <w:rFonts w:ascii="Arial" w:cs="Arial" w:eastAsia="Arial" w:hAnsi="Arial"/>
                <w:b/>
                <w:bCs/>
                <w:color w:val="6A4200"/>
                <w:sz w:val="20"/>
                <w:szCs w:val="20"/>
              </w:rPr>
              <w:t xml:space="preserve">Coverage terms: independently negotiated</w:t>
            </w:r>
          </w:p>
          <w:p>
            <w:pPr>
              <w:spacing w:after="60" w:before="0"/>
            </w:pPr>
            <w:r>
              <w:rPr>
                <w:rFonts w:ascii="Arial" w:cs="Arial" w:eastAsia="Arial" w:hAnsi="Arial"/>
                <w:color w:val="283040"/>
                <w:sz w:val="20"/>
                <w:szCs w:val="20"/>
              </w:rPr>
              <w:t xml:space="preserve">Coverage gaps: possible if terms differ</w:t>
            </w:r>
          </w:p>
          <w:p>
            <w:pPr>
              <w:spacing w:after="60" w:before="0"/>
            </w:pPr>
            <w:r>
              <w:rPr>
                <w:rFonts w:ascii="Arial" w:cs="Arial" w:eastAsia="Arial" w:hAnsi="Arial"/>
                <w:color w:val="283040"/>
                <w:sz w:val="20"/>
                <w:szCs w:val="20"/>
              </w:rPr>
              <w:t xml:space="preserve">Enhancements: can add buy-backs / broader terms</w:t>
            </w:r>
          </w:p>
          <w:p>
            <w:pPr>
              <w:spacing w:after="60" w:before="0"/>
            </w:pPr>
            <w:r>
              <w:rPr>
                <w:rFonts w:ascii="Arial" w:cs="Arial" w:eastAsia="Arial" w:hAnsi="Arial"/>
                <w:color w:val="283040"/>
                <w:sz w:val="20"/>
                <w:szCs w:val="20"/>
              </w:rPr>
              <w:t xml:space="preserve">Policy complexity: full form; detailed review required</w:t>
            </w:r>
          </w:p>
          <w:p>
            <w:pPr>
              <w:spacing w:after="60" w:before="0"/>
            </w:pPr>
            <w:r>
              <w:rPr>
                <w:rFonts w:ascii="Arial" w:cs="Arial" w:eastAsia="Arial" w:hAnsi="Arial"/>
                <w:color w:val="283040"/>
                <w:sz w:val="20"/>
                <w:szCs w:val="20"/>
              </w:rPr>
              <w:t xml:space="preserve">Best for: complex risks; exclusion buy-backs</w:t>
            </w:r>
          </w:p>
          <w:p>
            <w:pPr>
              <w:spacing w:after="0" w:before="0"/>
            </w:pPr>
            <w:r>
              <w:rPr>
                <w:rFonts w:ascii="Arial" w:cs="Arial" w:eastAsia="Arial" w:hAnsi="Arial"/>
                <w:b/>
                <w:bCs/>
                <w:color w:val="8B1A1A"/>
                <w:sz w:val="20"/>
                <w:szCs w:val="20"/>
              </w:rPr>
              <w:t xml:space="preserve">⚠ Requires expert analysis to confirm consistency</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Follow-Form Excess BOP — The Standard Approach</w:t>
      </w:r>
    </w:p>
    <w:p>
      <w:pPr>
        <w:spacing w:after="110" w:before="80"/>
      </w:pPr>
      <w:r>
        <w:rPr>
          <w:rFonts w:ascii="Arial" w:cs="Arial" w:eastAsia="Arial" w:hAnsi="Arial"/>
          <w:color w:val="0C1020"/>
          <w:sz w:val="22"/>
          <w:szCs w:val="22"/>
        </w:rPr>
        <w:t xml:space="preserve">A follow-form excess BOP policy adopts the terms, conditions, definitions, and exclusions of the underlying primary BOP by reference. The excess policy says, in effect, “We provide coverage in excess of the underlying BOP limit, on the same terms as the underlying BOP.” When a claim arises, the excess policy responds in exactly the same way as the primary BOP would — from a higher attachment point.</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The primary advantage of the follow-form structure is coverage consistency. A claim that is covered by the primary BOP is automatically covered by the follow-form excess. A claim that is excluded by the BOP is excluded by the follow-form excess. There is no risk of a coverage gap arising from different terms between the two layers. For most small-to-mid businesses, the follow-form excess BOP is the preferred and recommended structure.</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Manuscript Excess BOP — When to Use It</w:t>
      </w:r>
    </w:p>
    <w:p>
      <w:pPr>
        <w:spacing w:after="110" w:before="80"/>
      </w:pPr>
      <w:r>
        <w:rPr>
          <w:rFonts w:ascii="Arial" w:cs="Arial" w:eastAsia="Arial" w:hAnsi="Arial"/>
          <w:color w:val="0C1020"/>
          <w:sz w:val="22"/>
          <w:szCs w:val="22"/>
        </w:rPr>
        <w:t xml:space="preserve">A manuscript excess BOP policy has its own independently negotiated terms and conditions. It does not automatically adopt the BOP’s form. This structure is appropriate in two specific scenarios: when the business wants to buy back a specific exclusion that exists in the primary BOP but not in the excess, or when the risk’s specific characteristics require excess terms that differ from the underlying BOP.</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Manuscript excess policies require careful analysis to ensure that the independently negotiated terms do not create unintended gaps between the BOP and the excess layer. A provision that appears to broaden coverage in the manuscript excess may actually create an inconsistency that prevents the excess from responding to a claim the insured expected it to cover. Expert broker review is essential when any manuscript excess policy is under consideration.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Follow-Form Endorsement Gap</w:t>
            </w:r>
          </w:p>
          <w:p>
            <w:pPr>
              <w:spacing w:after="0" w:before="0"/>
            </w:pPr>
            <w:r>
              <w:rPr>
                <w:rFonts w:ascii="Arial" w:cs="Arial" w:eastAsia="Arial" w:hAnsi="Arial"/>
                <w:color w:val="5A1010"/>
                <w:sz w:val="20"/>
                <w:szCs w:val="20"/>
              </w:rPr>
              <w:t xml:space="preserve">Even follow-form excess policies have a trap: the follow-form provision typically adopts the base policy form but may not automatically adopt every endorsement added to the primary BOP. If the BOP has been endorsed to add specific coverage provisions — a hired and non-owned auto endorsement, a data breach provision, an abuse and molestation coverage — confirm in writing with the excess carrier whether those specific endorsements are also followed by the excess policy. Silent exclusions at the endorsement level are a common source of unexpected coverage gaps.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For most businesses, follow-form excess BOP is the right choice because it provides clean, gap-free coverage consistency between the primary and excess layers. Manuscript excess should be reserved for specific situations where the BOP’s standard form creates an unacceptable gap that can be addressed only through independently negotiated excess terms.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9.  </w:t>
            </w:r>
            <w:r>
              <w:rPr>
                <w:rFonts w:ascii="Arial" w:cs="Arial" w:eastAsia="Arial" w:hAnsi="Arial"/>
                <w:b/>
                <w:bCs/>
                <w:color w:val="FFFFFF"/>
                <w:sz w:val="28"/>
                <w:szCs w:val="28"/>
              </w:rPr>
              <w:t xml:space="preserve">Occurrence vs. Claims-Made Excess BOP Policies</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Standard BOP liability coverage is written on an occurrence basis, and excess BOP liability coverage should match that basis. Understanding the occurrence vs. claims-made distinction is essential when evaluating an excess BOP policy, because a mismatch between the basis of the underlying BOP and the basis of the excess layer can create a structural gap that prevents the excess from responding to valid claims.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1E4A" w:val="clear"/>
            <w:tcMar>
              <w:top w:type="dxa" w:w="120"/>
              <w:left w:type="dxa" w:w="160"/>
              <w:bottom w:type="dxa" w:w="40"/>
              <w:right w:type="dxa" w:w="160"/>
            </w:tcMar>
          </w:tcPr>
          <w:p>
            <w:pPr>
              <w:spacing w:after="0" w:before="0"/>
              <w:jc w:val="center"/>
            </w:pPr>
            <w:r>
              <w:rPr>
                <w:rFonts w:ascii="Arial" w:cs="Arial" w:eastAsia="Arial" w:hAnsi="Arial"/>
                <w:b/>
                <w:bCs/>
                <w:color w:val="FFFFFF"/>
                <w:sz w:val="26"/>
                <w:szCs w:val="26"/>
              </w:rPr>
              <w:t xml:space="preserve">OCCURRENCE POLICY</w:t>
            </w:r>
          </w:p>
        </w:tc>
        <w:tc>
          <w:tcPr>
            <w:tcW w:type="dxa" w:w="4620"/>
            <w:tcBorders>
              <w:top w:val="none" w:color="FFFFFF" w:sz="0"/>
              <w:left w:val="none" w:color="FFFFFF" w:sz="0"/>
              <w:bottom w:val="none" w:color="FFFFFF" w:sz="0"/>
              <w:right w:val="none" w:color="FFFFFF" w:sz="0"/>
            </w:tcBorders>
            <w:shd w:fill="2A3848" w:val="clear"/>
            <w:tcMar>
              <w:top w:type="dxa" w:w="120"/>
              <w:left w:type="dxa" w:w="160"/>
              <w:bottom w:type="dxa" w:w="40"/>
              <w:right w:type="dxa" w:w="160"/>
            </w:tcMar>
          </w:tcPr>
          <w:p>
            <w:pPr>
              <w:spacing w:after="0" w:before="0"/>
              <w:jc w:val="center"/>
            </w:pPr>
            <w:r>
              <w:rPr>
                <w:rFonts w:ascii="Arial" w:cs="Arial" w:eastAsia="Arial" w:hAnsi="Arial"/>
                <w:b/>
                <w:bCs/>
                <w:color w:val="FFFFFF"/>
                <w:sz w:val="26"/>
                <w:szCs w:val="26"/>
              </w:rPr>
              <w:t xml:space="preserve">CLAIMS-MADE POLICY</w:t>
            </w:r>
          </w:p>
        </w:tc>
      </w:tr>
      <w:tr>
        <w:tc>
          <w:tcPr>
            <w:tcW w:type="dxa" w:w="462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60" w:before="0"/>
            </w:pPr>
            <w:r>
              <w:rPr>
                <w:rFonts w:ascii="Arial" w:cs="Arial" w:eastAsia="Arial" w:hAnsi="Arial"/>
                <w:b/>
                <w:bCs/>
                <w:color w:val="1A1E4A"/>
                <w:sz w:val="20"/>
                <w:szCs w:val="20"/>
              </w:rPr>
              <w:t xml:space="preserve">Triggered by: when INCIDENT OCCURS</w:t>
            </w:r>
          </w:p>
          <w:p>
            <w:pPr>
              <w:spacing w:after="60" w:before="0"/>
            </w:pPr>
            <w:r>
              <w:rPr>
                <w:rFonts w:ascii="Arial" w:cs="Arial" w:eastAsia="Arial" w:hAnsi="Arial"/>
                <w:color w:val="283040"/>
                <w:sz w:val="20"/>
                <w:szCs w:val="20"/>
              </w:rPr>
              <w:t xml:space="preserve">Claim filed: anytime — even years after incident</w:t>
            </w:r>
          </w:p>
          <w:p>
            <w:pPr>
              <w:spacing w:after="60" w:before="0"/>
            </w:pPr>
            <w:r>
              <w:rPr>
                <w:rFonts w:ascii="Arial" w:cs="Arial" w:eastAsia="Arial" w:hAnsi="Arial"/>
                <w:color w:val="283040"/>
                <w:sz w:val="20"/>
                <w:szCs w:val="20"/>
              </w:rPr>
              <w:t xml:space="preserve">Policy in force at: time of incident</w:t>
            </w:r>
          </w:p>
          <w:p>
            <w:pPr>
              <w:spacing w:after="60" w:before="0"/>
            </w:pPr>
            <w:r>
              <w:rPr>
                <w:rFonts w:ascii="Arial" w:cs="Arial" w:eastAsia="Arial" w:hAnsi="Arial"/>
                <w:color w:val="283040"/>
                <w:sz w:val="20"/>
                <w:szCs w:val="20"/>
              </w:rPr>
              <w:t xml:space="preserve">Tail coverage: Not needed</w:t>
            </w:r>
          </w:p>
          <w:p>
            <w:pPr>
              <w:spacing w:after="60" w:before="0"/>
            </w:pPr>
            <w:r>
              <w:rPr>
                <w:rFonts w:ascii="Arial" w:cs="Arial" w:eastAsia="Arial" w:hAnsi="Arial"/>
                <w:color w:val="283040"/>
                <w:sz w:val="20"/>
                <w:szCs w:val="20"/>
              </w:rPr>
              <w:t xml:space="preserve">Standard BOP liability: occurrence-based</w:t>
            </w:r>
          </w:p>
          <w:p>
            <w:pPr>
              <w:spacing w:after="0" w:before="0"/>
            </w:pPr>
            <w:r>
              <w:rPr>
                <w:rFonts w:ascii="Arial" w:cs="Arial" w:eastAsia="Arial" w:hAnsi="Arial"/>
                <w:b/>
                <w:bCs/>
                <w:color w:val="1A5C2A"/>
                <w:sz w:val="20"/>
                <w:szCs w:val="20"/>
              </w:rPr>
              <w:t xml:space="preserve">✓ Standard and preferred for excess BOP liability</w:t>
            </w:r>
          </w:p>
        </w:tc>
        <w:tc>
          <w:tcPr>
            <w:tcW w:type="dxa" w:w="4620"/>
            <w:tcBorders>
              <w:top w:val="single" w:color="9898C0" w:sz="1"/>
              <w:left w:val="single" w:color="9898C0" w:sz="1"/>
              <w:bottom w:val="single" w:color="9898C0" w:sz="1"/>
              <w:right w:val="single" w:color="9898C0" w:sz="1"/>
            </w:tcBorders>
            <w:shd w:fill="EEF2F5" w:val="clear"/>
            <w:tcMar>
              <w:top w:type="dxa" w:w="100"/>
              <w:left w:type="dxa" w:w="160"/>
              <w:bottom w:type="dxa" w:w="100"/>
              <w:right w:type="dxa" w:w="160"/>
            </w:tcMar>
          </w:tcPr>
          <w:p>
            <w:pPr>
              <w:spacing w:after="60" w:before="0"/>
            </w:pPr>
            <w:r>
              <w:rPr>
                <w:rFonts w:ascii="Arial" w:cs="Arial" w:eastAsia="Arial" w:hAnsi="Arial"/>
                <w:b/>
                <w:bCs/>
                <w:color w:val="2A3848"/>
                <w:sz w:val="20"/>
                <w:szCs w:val="20"/>
              </w:rPr>
              <w:t xml:space="preserve">Triggered by: when CLAIM IS FILED</w:t>
            </w:r>
          </w:p>
          <w:p>
            <w:pPr>
              <w:spacing w:after="60" w:before="0"/>
            </w:pPr>
            <w:r>
              <w:rPr>
                <w:rFonts w:ascii="Arial" w:cs="Arial" w:eastAsia="Arial" w:hAnsi="Arial"/>
                <w:color w:val="283040"/>
                <w:sz w:val="20"/>
                <w:szCs w:val="20"/>
              </w:rPr>
              <w:t xml:space="preserve">Claim filed: only during active policy</w:t>
            </w:r>
          </w:p>
          <w:p>
            <w:pPr>
              <w:spacing w:after="60" w:before="0"/>
            </w:pPr>
            <w:r>
              <w:rPr>
                <w:rFonts w:ascii="Arial" w:cs="Arial" w:eastAsia="Arial" w:hAnsi="Arial"/>
                <w:color w:val="283040"/>
                <w:sz w:val="20"/>
                <w:szCs w:val="20"/>
              </w:rPr>
              <w:t xml:space="preserve">Policy in force at: time claim is reported</w:t>
            </w:r>
          </w:p>
          <w:p>
            <w:pPr>
              <w:spacing w:after="60" w:before="0"/>
            </w:pPr>
            <w:r>
              <w:rPr>
                <w:rFonts w:ascii="Arial" w:cs="Arial" w:eastAsia="Arial" w:hAnsi="Arial"/>
                <w:color w:val="283040"/>
                <w:sz w:val="20"/>
                <w:szCs w:val="20"/>
              </w:rPr>
              <w:t xml:space="preserve">Tail coverage: Required at cancellation</w:t>
            </w:r>
          </w:p>
          <w:p>
            <w:pPr>
              <w:spacing w:after="60" w:before="0"/>
            </w:pPr>
            <w:r>
              <w:rPr>
                <w:rFonts w:ascii="Arial" w:cs="Arial" w:eastAsia="Arial" w:hAnsi="Arial"/>
                <w:color w:val="283040"/>
                <w:sz w:val="20"/>
                <w:szCs w:val="20"/>
              </w:rPr>
              <w:t xml:space="preserve">Less common for excess BOP; may appear</w:t>
            </w:r>
          </w:p>
          <w:p>
            <w:pPr>
              <w:spacing w:after="0" w:before="0"/>
            </w:pPr>
            <w:r>
              <w:rPr>
                <w:rFonts w:ascii="Arial" w:cs="Arial" w:eastAsia="Arial" w:hAnsi="Arial"/>
                <w:b/>
                <w:bCs/>
                <w:color w:val="8B1A1A"/>
                <w:sz w:val="20"/>
                <w:szCs w:val="20"/>
              </w:rPr>
              <w:t xml:space="preserve">⚠ Requires careful tail management if used</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Why Occurrence-Based Excess BOP Is the Standard</w:t>
      </w:r>
    </w:p>
    <w:p>
      <w:pPr>
        <w:spacing w:after="110" w:before="80"/>
      </w:pPr>
      <w:r>
        <w:rPr>
          <w:rFonts w:ascii="Arial" w:cs="Arial" w:eastAsia="Arial" w:hAnsi="Arial"/>
          <w:color w:val="0C1020"/>
          <w:sz w:val="22"/>
          <w:szCs w:val="22"/>
        </w:rPr>
        <w:t xml:space="preserve">Because standard BOP liability is occurrence-based, the excess BOP should also be occurrence-based. This ensures that a claim arising from an incident that occurred during the policy period is covered by the excess layer regardless of when the claim is actually filed — even if the claim is not filed until after the excess policy has been renewed or replaced.</w:t>
      </w:r>
    </w:p>
    <w:p>
      <w:pPr>
        <w:spacing w:after="0" w:before="80"/>
      </w:pPr>
      <w:r>
        <w:rPr>
          <w:rFonts w:ascii="Arial" w:cs="Arial" w:eastAsia="Arial" w:hAnsi="Arial"/>
        </w:rPr>
        <w:t xml:space="preserve"/>
      </w:r>
    </w:p>
    <w:p>
      <w:pPr>
        <w:spacing w:after="110" w:before="80"/>
      </w:pPr>
      <w:r>
        <w:rPr>
          <w:rFonts w:ascii="Arial" w:cs="Arial" w:eastAsia="Arial" w:hAnsi="Arial"/>
          <w:color w:val="0C1020"/>
          <w:sz w:val="22"/>
          <w:szCs w:val="22"/>
        </w:rPr>
        <w:t xml:space="preserve">The long-tail nature of some liability claims — a products liability claim filed two years after the product was sold; a completed operations claim for a construction defect discovered years after the project was finished; a personal injury claim from an incident at a business location that is filed well after the event — illustrates why occurrence-based coverage is critical for BOP-class businesses. An occurrence-based excess BOP ensures continuous protection for these delayed claims.</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Policy Basis Matching Is a Coverage Requirement</w:t>
      </w:r>
    </w:p>
    <w:p>
      <w:pPr>
        <w:spacing w:after="110" w:before="80"/>
      </w:pPr>
      <w:r>
        <w:rPr>
          <w:rFonts w:ascii="Arial" w:cs="Arial" w:eastAsia="Arial" w:hAnsi="Arial"/>
          <w:color w:val="0C1020"/>
          <w:sz w:val="22"/>
          <w:szCs w:val="22"/>
        </w:rPr>
        <w:t xml:space="preserve">The excess BOP policy’s basis must match the underlying BOP’s basis to create a seamless coverage tower. A claims-made excess BOP placed above an occurrence-based BOP creates a mismatch: the BOP will respond to a claim arising from a prior year’s incident (occurrence basis), but the claims-made excess layer will only respond if the claim is filed during the excess policy’s active period. For a claim filed years after the incident, the excess layer may not respond at all.</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Occurrence BOP + Occurrence Excess</w:t>
            </w:r>
          </w:p>
          <w:p>
            <w:pPr>
              <w:spacing w:after="0" w:before="0"/>
            </w:pPr>
            <w:r>
              <w:rPr>
                <w:rFonts w:ascii="Arial" w:cs="Arial" w:eastAsia="Arial" w:hAnsi="Arial"/>
                <w:color w:val="283040"/>
                <w:sz w:val="20"/>
                <w:szCs w:val="20"/>
              </w:rPr>
              <w:t xml:space="preserve">Clean, consistent structure. Any claim from an incident during the policy period is covered by both the BOP and the excess, regardless of when the claim is filed. The preferred and recommended structure.</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Claims-Made BOP + Claims-Made Excess</w:t>
            </w:r>
          </w:p>
          <w:p>
            <w:pPr>
              <w:spacing w:after="0" w:before="0"/>
            </w:pPr>
            <w:r>
              <w:rPr>
                <w:rFonts w:ascii="Arial" w:cs="Arial" w:eastAsia="Arial" w:hAnsi="Arial"/>
                <w:color w:val="283040"/>
                <w:sz w:val="20"/>
                <w:szCs w:val="20"/>
              </w:rPr>
              <w:t xml:space="preserve">Consistent structure if properly managed. Requires careful attention to retroactive dates at each carrier transition to ensure no gaps in prior acts coverage. Less common for BOP programs.</w:t>
            </w:r>
          </w:p>
        </w:tc>
      </w:tr>
      <w:tr>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Occurrence BOP + Claims-Made Excess</w:t>
            </w:r>
          </w:p>
          <w:p>
            <w:pPr>
              <w:spacing w:after="0" w:before="0"/>
            </w:pPr>
            <w:r>
              <w:rPr>
                <w:rFonts w:ascii="Arial" w:cs="Arial" w:eastAsia="Arial" w:hAnsi="Arial"/>
                <w:color w:val="283040"/>
                <w:sz w:val="20"/>
                <w:szCs w:val="20"/>
              </w:rPr>
              <w:t xml:space="preserve">PROBLEMATIC. The BOP will respond occurrence-based to claims from prior incidents; the claims-made excess will not respond to those same claims unless filed during the active excess policy period. This mismatch creates a gap in the excess layer for late-filed claims.</w:t>
            </w:r>
          </w:p>
        </w:tc>
        <w:tc>
          <w:tcPr>
            <w:tcW w:type="dxa" w:w="4620"/>
            <w:tcBorders>
              <w:top w:val="single" w:color="9898C0" w:sz="1"/>
              <w:left w:val="single" w:color="9898C0" w:sz="1"/>
              <w:bottom w:val="single" w:color="9898C0" w:sz="1"/>
              <w:right w:val="single" w:color="9898C0" w:sz="1"/>
            </w:tcBorders>
            <w:shd w:fill="EAECF5" w:val="clear"/>
            <w:tcMar>
              <w:top w:type="dxa" w:w="110"/>
              <w:left w:type="dxa" w:w="160"/>
              <w:bottom w:type="dxa" w:w="110"/>
              <w:right w:type="dxa" w:w="160"/>
            </w:tcMar>
          </w:tcPr>
          <w:p>
            <w:pPr>
              <w:spacing w:after="60" w:before="0"/>
            </w:pPr>
            <w:r>
              <w:rPr>
                <w:rFonts w:ascii="Arial" w:cs="Arial" w:eastAsia="Arial" w:hAnsi="Arial"/>
                <w:b/>
                <w:bCs/>
                <w:color w:val="2A3070"/>
                <w:sz w:val="19"/>
                <w:szCs w:val="19"/>
              </w:rPr>
              <w:t xml:space="preserve">Tail Coverage for Claims-Made Excess</w:t>
            </w:r>
          </w:p>
          <w:p>
            <w:pPr>
              <w:spacing w:after="0" w:before="0"/>
            </w:pPr>
            <w:r>
              <w:rPr>
                <w:rFonts w:ascii="Arial" w:cs="Arial" w:eastAsia="Arial" w:hAnsi="Arial"/>
                <w:color w:val="283040"/>
                <w:sz w:val="20"/>
                <w:szCs w:val="20"/>
              </w:rPr>
              <w:t xml:space="preserve">If a claims-made excess BOP is purchased, tail coverage (extended reporting period) must be purchased when the excess policy ends or is replaced. Without tail coverage, claims filed after the excess policy expires — for incidents during the covered period — will not be covered by the excess layer.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Match the policy basis across every layer of the BOP program. Occurrence BOP — occurrence excess. Claims-made BOP — claims-made excess with matched retroactive dates. Any mismatch in policy basis between layers creates a gap that will be discovered only when the largest claims occur.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160"/>
              <w:left w:type="dxa" w:w="240"/>
              <w:bottom w:type="dxa" w:w="160"/>
              <w:right w:type="dxa" w:w="240"/>
            </w:tcMar>
          </w:tcPr>
          <w:p>
            <w:pPr>
              <w:spacing w:after="0" w:before="0"/>
            </w:pPr>
            <w:r>
              <w:rPr>
                <w:rFonts w:ascii="Arial" w:cs="Arial" w:eastAsia="Arial" w:hAnsi="Arial"/>
                <w:b/>
                <w:bCs/>
                <w:color w:val="E0C088"/>
                <w:sz w:val="28"/>
                <w:szCs w:val="28"/>
              </w:rPr>
              <w:t xml:space="preserve">10.  </w:t>
            </w:r>
            <w:r>
              <w:rPr>
                <w:rFonts w:ascii="Arial" w:cs="Arial" w:eastAsia="Arial" w:hAnsi="Arial"/>
                <w:b/>
                <w:bCs/>
                <w:color w:val="FFFFFF"/>
                <w:sz w:val="28"/>
                <w:szCs w:val="28"/>
              </w:rPr>
              <w:t xml:space="preserve">Role of Excess BOP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0C1020"/>
          <w:sz w:val="22"/>
          <w:szCs w:val="22"/>
        </w:rPr>
        <w:t xml:space="preserve">Excess BOP insurance occupies the critical role of extending the BOP’s financial capacity from adequate for routine claims to sufficient for catastrophic ones. It is the bridge between the BOP’s standard small-business limits and the level of protection that a business with meaningful assets, significant customer exposure, or contractual limit requirements actually needs. Understanding how the excess BOP fits into the complete program ensures that every component works together and no scenario is left unprotected.</w:t>
      </w:r>
    </w:p>
    <w:p>
      <w:pPr>
        <w:spacing w:after="0" w:before="10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The Complete BOP-Based Insurance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10141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Second Excess BOP Layer / Commercial Umbrella</w:t>
            </w:r>
          </w:p>
        </w:tc>
        <w:tc>
          <w:tcPr>
            <w:tcW w:type="dxa" w:w="636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Additional capacity above the first excess BOP layer. May use a commercial umbrella to cover BOP + commercial auto + WC Part Two under a single overlying policy with drop-down protection.</w:t>
            </w:r>
          </w:p>
        </w:tc>
      </w:tr>
      <w:tr>
        <w:tc>
          <w:tcPr>
            <w:tcW w:type="dxa" w:w="3000"/>
            <w:tcBorders>
              <w:top w:val="none" w:color="FFFFFF" w:sz="0"/>
              <w:left w:val="none" w:color="FFFFFF" w:sz="0"/>
              <w:bottom w:val="none" w:color="FFFFFF" w:sz="0"/>
              <w:right w:val="none" w:color="FFFFFF" w:sz="0"/>
            </w:tcBorders>
            <w:shd w:fill="2A30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First Excess BOP Layer</w:t>
            </w:r>
          </w:p>
        </w:tc>
        <w:tc>
          <w:tcPr>
            <w:tcW w:type="dxa" w:w="6360"/>
            <w:tcBorders>
              <w:top w:val="single" w:color="9898C0" w:sz="1"/>
              <w:left w:val="single" w:color="9898C0" w:sz="1"/>
              <w:bottom w:val="single" w:color="9898C0" w:sz="1"/>
              <w:right w:val="single" w:color="9898C0" w:sz="1"/>
            </w:tcBorders>
            <w:shd w:fill="FFFFFF"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Follow-form excess above the primary BOP. Attaches at BOP per-occurrence limit. Provides $2M–$5M of additional liability capacity. Same occurrence basis as the BOP.</w:t>
            </w:r>
          </w:p>
        </w:tc>
      </w:tr>
      <w:tr>
        <w:tc>
          <w:tcPr>
            <w:tcW w:type="dxa" w:w="3000"/>
            <w:tcBorders>
              <w:top w:val="none" w:color="FFFFFF" w:sz="0"/>
              <w:left w:val="none" w:color="FFFFFF" w:sz="0"/>
              <w:bottom w:val="none" w:color="FFFFFF" w:sz="0"/>
              <w:right w:val="none" w:color="FFFFFF" w:sz="0"/>
            </w:tcBorders>
            <w:shd w:fill="1A1E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Primary BOP</w:t>
            </w:r>
          </w:p>
        </w:tc>
        <w:tc>
          <w:tcPr>
            <w:tcW w:type="dxa" w:w="636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Commercial property + CGL liability + business income. $1M per occurrence / $2M aggregate (standard). Occurrence-based. Active claim management. First layer for all covered losses.</w:t>
            </w:r>
          </w:p>
        </w:tc>
      </w:tr>
      <w:tr>
        <w:tc>
          <w:tcPr>
            <w:tcW w:type="dxa" w:w="30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Specialty Liability (E&amp;O, EPL, Cyber)</w:t>
            </w:r>
          </w:p>
        </w:tc>
        <w:tc>
          <w:tcPr>
            <w:tcW w:type="dxa" w:w="6360"/>
            <w:tcBorders>
              <w:top w:val="single" w:color="9898C0" w:sz="1"/>
              <w:left w:val="single" w:color="9898C0" w:sz="1"/>
              <w:bottom w:val="single" w:color="9898C0" w:sz="1"/>
              <w:right w:val="single" w:color="9898C0" w:sz="1"/>
            </w:tcBorders>
            <w:shd w:fill="FFFFFF"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Professional liability, employment practices, cyber, and other specialty coverages fill BOP exclusion gaps. Operate in parallel with the BOP/excess tower. Each has its own limits.</w:t>
            </w:r>
          </w:p>
        </w:tc>
      </w:tr>
      <w:tr>
        <w:tc>
          <w:tcPr>
            <w:tcW w:type="dxa" w:w="3000"/>
            <w:tcBorders>
              <w:top w:val="none" w:color="FFFFFF" w:sz="0"/>
              <w:left w:val="none" w:color="FFFFFF" w:sz="0"/>
              <w:bottom w:val="none" w:color="FFFFFF" w:sz="0"/>
              <w:right w:val="none" w:color="FFFFFF" w:sz="0"/>
            </w:tcBorders>
            <w:shd w:fill="6A42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Commercial Auto + Workers’ Comp</w:t>
            </w:r>
          </w:p>
        </w:tc>
        <w:tc>
          <w:tcPr>
            <w:tcW w:type="dxa" w:w="6360"/>
            <w:tcBorders>
              <w:top w:val="single" w:color="9898C0" w:sz="1"/>
              <w:left w:val="single" w:color="9898C0" w:sz="1"/>
              <w:bottom w:val="single" w:color="9898C0" w:sz="1"/>
              <w:right w:val="single" w:color="9898C0" w:sz="1"/>
            </w:tcBorders>
            <w:shd w:fill="EAECF5" w:val="clear"/>
            <w:tcMar>
              <w:top w:type="dxa" w:w="100"/>
              <w:left w:type="dxa" w:w="160"/>
              <w:bottom w:type="dxa" w:w="100"/>
              <w:right w:type="dxa" w:w="160"/>
            </w:tcMar>
          </w:tcPr>
          <w:p>
            <w:pPr>
              <w:spacing w:after="0" w:before="0"/>
            </w:pPr>
            <w:r>
              <w:rPr>
                <w:rFonts w:ascii="Arial" w:cs="Arial" w:eastAsia="Arial" w:hAnsi="Arial"/>
                <w:color w:val="283040"/>
                <w:sz w:val="20"/>
                <w:szCs w:val="20"/>
              </w:rPr>
              <w:t xml:space="preserve">Required separately from the BOP. Commercial auto covers vehicle liability. WC covers employee injuries. Both should be listed as underlying policies in any commercial umbrella.</w:t>
            </w:r>
          </w:p>
        </w:tc>
      </w:tr>
    </w:tbl>
    <w:p>
      <w:pPr>
        <w:spacing w:after="0" w:before="120"/>
      </w:pPr>
      <w:r>
        <w:rPr>
          <w:rFonts w:ascii="Arial" w:cs="Arial" w:eastAsia="Arial" w:hAnsi="Arial"/>
        </w:rPr>
        <w:t xml:space="preserve"/>
      </w:r>
    </w:p>
    <w:p>
      <w:pPr>
        <w:pBdr>
          <w:bottom w:val="single" w:color="A8ACCC" w:sz="4" w:space="4"/>
        </w:pBdr>
        <w:spacing w:after="80" w:before="220"/>
      </w:pPr>
      <w:r>
        <w:rPr>
          <w:rFonts w:ascii="Arial" w:cs="Arial" w:eastAsia="Arial" w:hAnsi="Arial"/>
          <w:b/>
          <w:bCs/>
          <w:color w:val="1A1E4A"/>
          <w:sz w:val="24"/>
          <w:szCs w:val="24"/>
        </w:rPr>
        <w:t xml:space="preserve">Key Program Coordination Points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3070"/>
          <w:sz w:val="22"/>
          <w:szCs w:val="22"/>
        </w:rPr>
        <w:t xml:space="preserve">BOP and excess BOP renewal date coordination — </w:t>
      </w:r>
      <w:r>
        <w:rPr>
          <w:rFonts w:ascii="Arial" w:cs="Arial" w:eastAsia="Arial" w:hAnsi="Arial"/>
          <w:color w:val="283040"/>
          <w:sz w:val="22"/>
          <w:szCs w:val="22"/>
        </w:rPr>
        <w:t xml:space="preserve">ensure BOP and excess BOP renew on the same date; staggered renewals create windows where one layer may be renewed under different terms than the other, creating potential mismatches</w:t>
      </w:r>
    </w:p>
    <w:p>
      <w:pPr>
        <w:pStyle w:val="ListParagraph"/>
        <w:numPr>
          <w:ilvl w:val="0"/>
          <w:numId w:val="2"/>
        </w:numPr>
        <w:spacing w:after="60" w:before="60"/>
      </w:pPr>
      <w:r>
        <w:rPr>
          <w:rFonts w:ascii="Arial" w:cs="Arial" w:eastAsia="Arial" w:hAnsi="Arial"/>
          <w:b/>
          <w:bCs/>
          <w:color w:val="2A3070"/>
          <w:sz w:val="22"/>
          <w:szCs w:val="22"/>
        </w:rPr>
        <w:t xml:space="preserve">BOP property limit adequacy — </w:t>
      </w:r>
      <w:r>
        <w:rPr>
          <w:rFonts w:ascii="Arial" w:cs="Arial" w:eastAsia="Arial" w:hAnsi="Arial"/>
          <w:color w:val="283040"/>
          <w:sz w:val="22"/>
          <w:szCs w:val="22"/>
        </w:rPr>
        <w:t xml:space="preserve">review the BOP’s property limit at every renewal; construction costs and equipment values change annually; a BOP property limit that was adequate three years ago may now be insufficient for a coinsurance-compliant program</w:t>
      </w:r>
    </w:p>
    <w:p>
      <w:pPr>
        <w:pStyle w:val="ListParagraph"/>
        <w:numPr>
          <w:ilvl w:val="0"/>
          <w:numId w:val="2"/>
        </w:numPr>
        <w:spacing w:after="60" w:before="60"/>
      </w:pPr>
      <w:r>
        <w:rPr>
          <w:rFonts w:ascii="Arial" w:cs="Arial" w:eastAsia="Arial" w:hAnsi="Arial"/>
          <w:b/>
          <w:bCs/>
          <w:color w:val="2A3070"/>
          <w:sz w:val="22"/>
          <w:szCs w:val="22"/>
        </w:rPr>
        <w:t xml:space="preserve">Excess BOP attachment point confirmation — </w:t>
      </w:r>
      <w:r>
        <w:rPr>
          <w:rFonts w:ascii="Arial" w:cs="Arial" w:eastAsia="Arial" w:hAnsi="Arial"/>
          <w:color w:val="283040"/>
          <w:sz w:val="22"/>
          <w:szCs w:val="22"/>
        </w:rPr>
        <w:t xml:space="preserve">verify at every renewal that the excess BOP’s attachment point matches the current BOP’s per-occurrence liability limit; if the BOP limit changes at renewal, the excess attachment point must be updated correspondingly</w:t>
      </w:r>
    </w:p>
    <w:p>
      <w:pPr>
        <w:pStyle w:val="ListParagraph"/>
        <w:numPr>
          <w:ilvl w:val="0"/>
          <w:numId w:val="2"/>
        </w:numPr>
        <w:spacing w:after="60" w:before="60"/>
      </w:pPr>
      <w:r>
        <w:rPr>
          <w:rFonts w:ascii="Arial" w:cs="Arial" w:eastAsia="Arial" w:hAnsi="Arial"/>
          <w:b/>
          <w:bCs/>
          <w:color w:val="2A3070"/>
          <w:sz w:val="22"/>
          <w:szCs w:val="22"/>
        </w:rPr>
        <w:t xml:space="preserve">Contractual limit compliance — </w:t>
      </w:r>
      <w:r>
        <w:rPr>
          <w:rFonts w:ascii="Arial" w:cs="Arial" w:eastAsia="Arial" w:hAnsi="Arial"/>
          <w:color w:val="283040"/>
          <w:sz w:val="22"/>
          <w:szCs w:val="22"/>
        </w:rPr>
        <w:t xml:space="preserve">maintain a list of all contracts that specify minimum liability limits; confirm at each renewal that the combined BOP + excess BOP limits satisfy every contractual requirement; a missed requirement can trigger a contract breach claim</w:t>
      </w:r>
    </w:p>
    <w:p>
      <w:pPr>
        <w:pStyle w:val="ListParagraph"/>
        <w:numPr>
          <w:ilvl w:val="0"/>
          <w:numId w:val="2"/>
        </w:numPr>
        <w:spacing w:after="60" w:before="60"/>
      </w:pPr>
      <w:r>
        <w:rPr>
          <w:rFonts w:ascii="Arial" w:cs="Arial" w:eastAsia="Arial" w:hAnsi="Arial"/>
          <w:b/>
          <w:bCs/>
          <w:color w:val="2A3070"/>
          <w:sz w:val="22"/>
          <w:szCs w:val="22"/>
        </w:rPr>
        <w:t xml:space="preserve">Specialty coverage gap review — </w:t>
      </w:r>
      <w:r>
        <w:rPr>
          <w:rFonts w:ascii="Arial" w:cs="Arial" w:eastAsia="Arial" w:hAnsi="Arial"/>
          <w:color w:val="283040"/>
          <w:sz w:val="22"/>
          <w:szCs w:val="22"/>
        </w:rPr>
        <w:t xml:space="preserve">annually confirm that all BOP exclusion gaps are addressed by specialty policies: professional liability, EPL, cyber, liquor, and pollution liability as applicable to the business’s specific operations</w:t>
      </w:r>
    </w:p>
    <w:p>
      <w:pPr>
        <w:pStyle w:val="ListParagraph"/>
        <w:numPr>
          <w:ilvl w:val="0"/>
          <w:numId w:val="2"/>
        </w:numPr>
        <w:spacing w:after="60" w:before="60"/>
      </w:pPr>
      <w:r>
        <w:rPr>
          <w:rFonts w:ascii="Arial" w:cs="Arial" w:eastAsia="Arial" w:hAnsi="Arial"/>
          <w:b/>
          <w:bCs/>
          <w:color w:val="2A3070"/>
          <w:sz w:val="22"/>
          <w:szCs w:val="22"/>
        </w:rPr>
        <w:t xml:space="preserve">Certificate of insurance management — </w:t>
      </w:r>
      <w:r>
        <w:rPr>
          <w:rFonts w:ascii="Arial" w:cs="Arial" w:eastAsia="Arial" w:hAnsi="Arial"/>
          <w:color w:val="283040"/>
          <w:sz w:val="22"/>
          <w:szCs w:val="22"/>
        </w:rPr>
        <w:t xml:space="preserve">when certificates of insurance are required by contracts, ensure that both the BOP and the excess BOP are properly reflected; some contracts require separate certificates for primary and excess layers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5A18" w:sz="18"/>
              <w:bottom w:val="none" w:color="FFFFFF" w:sz="0"/>
              <w:right w:val="none" w:color="FFFFFF" w:sz="0"/>
            </w:tcBorders>
            <w:shd w:fill="FAF5E8" w:val="clear"/>
            <w:tcMar>
              <w:top w:type="dxa" w:w="110"/>
              <w:left w:type="dxa" w:w="200"/>
              <w:bottom w:type="dxa" w:w="110"/>
              <w:right w:type="dxa" w:w="160"/>
            </w:tcMar>
          </w:tcPr>
          <w:p>
            <w:pPr>
              <w:spacing w:after="60" w:before="0"/>
            </w:pPr>
            <w:r>
              <w:rPr>
                <w:rFonts w:ascii="Arial" w:cs="Arial" w:eastAsia="Arial" w:hAnsi="Arial"/>
                <w:b/>
                <w:bCs/>
                <w:caps/>
                <w:color w:val="6A4200"/>
                <w:sz w:val="19"/>
                <w:szCs w:val="19"/>
              </w:rPr>
              <w:t xml:space="preserve">When to Transition from BOP to Standalone Policies</w:t>
            </w:r>
          </w:p>
          <w:p>
            <w:pPr>
              <w:spacing w:after="0" w:before="0"/>
            </w:pPr>
            <w:r>
              <w:rPr>
                <w:rFonts w:ascii="Arial" w:cs="Arial" w:eastAsia="Arial" w:hAnsi="Arial"/>
                <w:color w:val="4A2800"/>
                <w:sz w:val="20"/>
                <w:szCs w:val="20"/>
              </w:rPr>
              <w:t xml:space="preserve">As businesses grow, they may outgrow the BOP product entirely. When annual revenues approach $5–10 million, when the risk profile becomes more complex, or when the BOP’s standard exclusions create too many gaps requiring supplemental policies, transitioning to standalone commercial property + standalone CGL may provide better tailored coverage at competitive pricing. Discuss this evaluation with your broker at each renewal.</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3070" w:sz="18"/>
              <w:bottom w:val="none" w:color="FFFFFF" w:sz="0"/>
              <w:right w:val="none" w:color="FFFFFF" w:sz="0"/>
            </w:tcBorders>
            <w:shd w:fill="EAECF5" w:val="clear"/>
            <w:tcMar>
              <w:top w:type="dxa" w:w="110"/>
              <w:left w:type="dxa" w:w="200"/>
              <w:bottom w:type="dxa" w:w="110"/>
              <w:right w:type="dxa" w:w="160"/>
            </w:tcMar>
          </w:tcPr>
          <w:p>
            <w:pPr>
              <w:spacing w:after="0" w:before="0"/>
            </w:pPr>
            <w:r>
              <w:rPr>
                <w:rFonts w:ascii="Arial" w:cs="Arial" w:eastAsia="Arial" w:hAnsi="Arial"/>
                <w:b/>
                <w:bCs/>
                <w:color w:val="1A1E4A"/>
                <w:sz w:val="20"/>
                <w:szCs w:val="20"/>
              </w:rPr>
              <w:t xml:space="preserve">Key Takeaway: </w:t>
            </w:r>
            <w:r>
              <w:rPr>
                <w:rFonts w:ascii="Arial" w:cs="Arial" w:eastAsia="Arial" w:hAnsi="Arial"/>
                <w:color w:val="283040"/>
                <w:sz w:val="20"/>
                <w:szCs w:val="20"/>
              </w:rPr>
              <w:t xml:space="preserve">The excess BOP is the essential complement to the standard BOP for any business whose liability exposure or property values exceed the modest limits built into the standard BOP product. Together, the primary BOP and the excess BOP create a coverage tower that protects the business from the first dollar of any claim to the catastrophic claim ceiling — providing the financial security that allows the business to operate without existential liability exposure.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1E4A"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A BOP Is a Foundation. Build on It.</w:t>
            </w:r>
          </w:p>
          <w:p>
            <w:pPr>
              <w:spacing w:after="100" w:before="0"/>
            </w:pPr>
            <w:r>
              <w:rPr>
                <w:rFonts w:ascii="Arial" w:cs="Arial" w:eastAsia="Arial" w:hAnsi="Arial"/>
                <w:color w:val="A8ACCC"/>
                <w:sz w:val="22"/>
                <w:szCs w:val="22"/>
              </w:rPr>
              <w:t xml:space="preserve">The Business Owners Policy provides the essential building blocks of small business insurance in an efficient, affordable package — but its standard limits were designed for the average small business, not for the business that has grown, faces significant customer exposure, or has meaningful assets to protect. An excess BOP layer transforms a good foundation into a genuinely comprehensive program. Daly &amp; Alexander Insurance helps business owners build the complete program their business actually needs.</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B8C0CC" w:sz="4" w:space="6"/>
        </w:pBdr>
        <w:spacing w:after="80" w:before="0"/>
      </w:pPr>
      <w:r>
        <w:rPr>
          <w:rFonts w:ascii="Arial" w:cs="Arial" w:eastAsia="Arial" w:hAnsi="Arial"/>
          <w:b/>
          <w:bCs/>
          <w:caps/>
          <w:color w:val="607080"/>
          <w:sz w:val="19"/>
          <w:szCs w:val="19"/>
        </w:rPr>
        <w:t xml:space="preserve">Disclaimer</w:t>
      </w:r>
    </w:p>
    <w:p>
      <w:pPr>
        <w:spacing w:after="120" w:before="0"/>
      </w:pPr>
      <w:r>
        <w:rPr>
          <w:rFonts w:ascii="Arial" w:cs="Arial" w:eastAsia="Arial" w:hAnsi="Arial"/>
          <w:color w:val="607080"/>
          <w:sz w:val="18"/>
          <w:szCs w:val="18"/>
        </w:rPr>
        <w:t xml:space="preserve">The information contained in this article is intended for general informational and educational purposes only and should not be construed as legal, financial, or insurance advice. Business Owners Policy (BOP) and excess BOP insurance requirements, coverage terms, eligibility criteria, policy structures, and underwriting guidelines vary significantly by business type, industry, carrier, and jurisdiction and are subject to change. It is the sole responsibility of the reader to carefully review their individual insurance policies and all applicable terms, conditions, and exclusions to determine the exact scope of coverage applicable to their specific business and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070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0C088" w:sz="4" w:space="4"/>
      </w:pBdr>
      <w:spacing w:after="0" w:before="0"/>
    </w:pPr>
    <w:r>
      <w:rPr>
        <w:rFonts w:ascii="Arial" w:cs="Arial" w:eastAsia="Arial" w:hAnsi="Arial"/>
        <w:color w:val="6070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0C088" w:sz="4" w:space="6"/>
      </w:pBdr>
      <w:spacing w:after="0" w:before="0"/>
    </w:pPr>
    <w:r>
      <w:rPr>
        <w:rFonts w:ascii="Arial" w:cs="Arial" w:eastAsia="Arial" w:hAnsi="Arial"/>
        <w:b/>
        <w:bCs/>
        <w:color w:val="2A3070"/>
        <w:sz w:val="18"/>
        <w:szCs w:val="18"/>
      </w:rPr>
      <w:t xml:space="preserve">BUSINESS OWNERS POLICY &amp; EXCESS BOP INSURANCE GUIDE</w:t>
    </w:r>
    <w:r>
      <w:rPr>
        <w:rFonts w:ascii="Arial" w:cs="Arial" w:eastAsia="Arial" w:hAnsi="Arial"/>
        <w:color w:val="6070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1E4A"/>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A307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2026-05-06T09:10:54.279Z</dcterms:created>
  <dcterms:modified xsi:type="dcterms:W3CDTF">2026-05-06T09:10:54.295Z</dcterms:modified>
</cp:coreProperties>
</file>

<file path=docProps/custom.xml><?xml version="1.0" encoding="utf-8"?>
<Properties xmlns="http://schemas.openxmlformats.org/officeDocument/2006/custom-properties" xmlns:vt="http://schemas.openxmlformats.org/officeDocument/2006/docPropsVTypes"/>
</file>