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9E6210" w:sz="8" w:space="8"/>
        </w:pBdr>
        <w:spacing w:after="80" w:before="0"/>
        <w:jc w:val="center"/>
      </w:pPr>
      <w:r>
        <w:rPr>
          <w:rFonts w:ascii="Arial" w:cs="Arial" w:eastAsia="Arial" w:hAnsi="Arial"/>
          <w:b/>
          <w:bCs/>
          <w:color w:val="1C2A38"/>
          <w:sz w:val="46"/>
          <w:szCs w:val="46"/>
        </w:rPr>
        <w:t xml:space="preserve">BUILDERS RISK INSURANCE GUIDE</w:t>
      </w:r>
    </w:p>
    <w:p>
      <w:pPr>
        <w:spacing w:after="60" w:before="120"/>
        <w:jc w:val="center"/>
      </w:pPr>
      <w:r>
        <w:rPr>
          <w:rFonts w:ascii="Arial" w:cs="Arial" w:eastAsia="Arial" w:hAnsi="Arial"/>
          <w:i/>
          <w:iCs/>
          <w:color w:val="2C3848"/>
          <w:sz w:val="26"/>
          <w:szCs w:val="26"/>
        </w:rPr>
        <w:t xml:space="preserve">Coverage, Structure &amp; Everything Property Owners and Contractors Need to Know</w:t>
      </w:r>
    </w:p>
    <w:p>
      <w:pPr>
        <w:spacing w:after="0" w:before="0"/>
        <w:jc w:val="center"/>
      </w:pPr>
      <w:r>
        <w:rPr>
          <w:rFonts w:ascii="Arial" w:cs="Arial" w:eastAsia="Arial" w:hAnsi="Arial"/>
          <w:color w:val="6A7480"/>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E6210" w:sz="18"/>
              <w:bottom w:val="none" w:color="FFFFFF" w:sz="0"/>
              <w:right w:val="none" w:color="FFFFFF" w:sz="0"/>
            </w:tcBorders>
            <w:shd w:fill="FBF5E8" w:val="clear"/>
            <w:tcMar>
              <w:top w:type="dxa" w:w="140"/>
              <w:left w:type="dxa" w:w="240"/>
              <w:bottom w:type="dxa" w:w="140"/>
              <w:right w:type="dxa" w:w="240"/>
            </w:tcMar>
          </w:tcPr>
          <w:p>
            <w:pPr>
              <w:spacing w:after="100" w:before="0"/>
            </w:pPr>
            <w:r>
              <w:rPr>
                <w:rFonts w:ascii="Arial" w:cs="Arial" w:eastAsia="Arial" w:hAnsi="Arial"/>
                <w:color w:val="2C3848"/>
                <w:sz w:val="22"/>
                <w:szCs w:val="22"/>
              </w:rPr>
              <w:t xml:space="preserve">A construction project is one of the most financially exposed undertakings a property owner or developer can take on. Materials on-site, a partially built structure, and the complex web of contractors, subcontractors, and lenders involved create risks that no standard property or liability policy is designed to cover.</w:t>
            </w:r>
          </w:p>
          <w:p>
            <w:pPr>
              <w:spacing w:after="0" w:before="0"/>
            </w:pPr>
            <w:r>
              <w:rPr>
                <w:rFonts w:ascii="Arial" w:cs="Arial" w:eastAsia="Arial" w:hAnsi="Arial"/>
                <w:color w:val="2C3848"/>
                <w:sz w:val="22"/>
                <w:szCs w:val="22"/>
              </w:rPr>
              <w:t xml:space="preserve">Builders risk insurance is the purpose-built solution. This guide explains what builders risk coverage is, how it works, who needs it, and how it integrates into a complete construction risk management program.</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C2A38" w:val="clear"/>
            <w:tcMar>
              <w:top w:type="dxa" w:w="160"/>
              <w:left w:type="dxa" w:w="240"/>
              <w:bottom w:type="dxa" w:w="160"/>
              <w:right w:type="dxa" w:w="240"/>
            </w:tcMar>
          </w:tcPr>
          <w:p>
            <w:pPr>
              <w:spacing w:after="0" w:before="0"/>
            </w:pPr>
            <w:r>
              <w:rPr>
                <w:rFonts w:ascii="Arial" w:cs="Arial" w:eastAsia="Arial" w:hAnsi="Arial"/>
                <w:b/>
                <w:bCs/>
                <w:color w:val="E8C880"/>
                <w:sz w:val="28"/>
                <w:szCs w:val="28"/>
              </w:rPr>
              <w:t xml:space="preserve">1.  </w:t>
            </w:r>
            <w:r>
              <w:rPr>
                <w:rFonts w:ascii="Arial" w:cs="Arial" w:eastAsia="Arial" w:hAnsi="Arial"/>
                <w:b/>
                <w:bCs/>
                <w:color w:val="FFFFFF"/>
                <w:sz w:val="28"/>
                <w:szCs w:val="28"/>
              </w:rPr>
              <w:t xml:space="preserve">What Builders Risk Insurance Is</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4"/>
          <w:sz w:val="22"/>
          <w:szCs w:val="22"/>
        </w:rPr>
        <w:t xml:space="preserve">Builders risk insurance — also known as course of construction (COC) insurance — is a specialized form of property insurance that covers a building or structure during the period of construction, renovation, or installation. It protects the physical project itself: the structure under construction, the materials incorporated into it, and the materials stored on-site or in transit, from a wide range of covered perils including fire, wind, vandalism, theft, and collapse.</w:t>
      </w:r>
    </w:p>
    <w:p>
      <w:pPr>
        <w:spacing w:after="0" w:before="80"/>
      </w:pPr>
      <w:r>
        <w:rPr>
          <w:rFonts w:ascii="Arial" w:cs="Arial" w:eastAsia="Arial" w:hAnsi="Arial"/>
        </w:rPr>
        <w:t xml:space="preserve"/>
      </w:r>
    </w:p>
    <w:p>
      <w:pPr>
        <w:spacing w:after="110" w:before="80"/>
      </w:pPr>
      <w:r>
        <w:rPr>
          <w:rFonts w:ascii="Arial" w:cs="Arial" w:eastAsia="Arial" w:hAnsi="Arial"/>
          <w:color w:val="141C24"/>
          <w:sz w:val="22"/>
          <w:szCs w:val="22"/>
        </w:rPr>
        <w:t xml:space="preserve">Builders risk insurance is a temporary policy, effective from the date construction begins until the project is complete and the building is ready for occupancy. It addresses a fundamental gap in the standard insurance marketplace: during construction, a building is not yet a finished structure that can be insured under a standard property policy, but it represents enormous financial value that must be protected.</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3760"/>
        <w:gridCol w:w="3200"/>
      </w:tblGrid>
      <w:tr>
        <w:tc>
          <w:tcPr>
            <w:tcW w:type="dxa" w:w="2400"/>
            <w:tcBorders>
              <w:top w:val="none" w:color="FFFFFF" w:sz="0"/>
              <w:left w:val="none" w:color="FFFFFF" w:sz="0"/>
              <w:bottom w:val="none" w:color="FFFFFF" w:sz="0"/>
              <w:right w:val="none" w:color="FFFFFF" w:sz="0"/>
            </w:tcBorders>
            <w:shd w:fill="1C2A3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Coverage Component</w:t>
            </w:r>
          </w:p>
        </w:tc>
        <w:tc>
          <w:tcPr>
            <w:tcW w:type="dxa" w:w="3760"/>
            <w:tcBorders>
              <w:top w:val="none" w:color="FFFFFF" w:sz="0"/>
              <w:left w:val="none" w:color="FFFFFF" w:sz="0"/>
              <w:bottom w:val="none" w:color="FFFFFF" w:sz="0"/>
              <w:right w:val="none" w:color="FFFFFF" w:sz="0"/>
            </w:tcBorders>
            <w:shd w:fill="1C2A3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What It Covers</w:t>
            </w:r>
          </w:p>
        </w:tc>
        <w:tc>
          <w:tcPr>
            <w:tcW w:type="dxa" w:w="3200"/>
            <w:tcBorders>
              <w:top w:val="none" w:color="FFFFFF" w:sz="0"/>
              <w:left w:val="none" w:color="FFFFFF" w:sz="0"/>
              <w:bottom w:val="none" w:color="FFFFFF" w:sz="0"/>
              <w:right w:val="none" w:color="FFFFFF" w:sz="0"/>
            </w:tcBorders>
            <w:shd w:fill="1C2A3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Why It Matters</w:t>
            </w:r>
          </w:p>
        </w:tc>
      </w:tr>
      <w:tr>
        <w:tc>
          <w:tcPr>
            <w:tcW w:type="dxa" w:w="240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bCs/>
                <w:color w:val="1C2A38"/>
                <w:sz w:val="19"/>
                <w:szCs w:val="19"/>
              </w:rPr>
              <w:t xml:space="preserve">Building Under Construction</w:t>
            </w:r>
          </w:p>
        </w:tc>
        <w:tc>
          <w:tcPr>
            <w:tcW w:type="dxa" w:w="376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The physical structure as it is built — foundation, framing, walls, roof, mechanical systems, and all incorporated components — from the first nail to final completion</w:t>
            </w:r>
          </w:p>
        </w:tc>
        <w:tc>
          <w:tcPr>
            <w:tcW w:type="dxa" w:w="320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The structure’s value grows daily; a fire or storm that destroys partial construction can result in total loss of all invested labor and materials</w:t>
            </w:r>
          </w:p>
        </w:tc>
      </w:tr>
      <w:tr>
        <w:tc>
          <w:tcPr>
            <w:tcW w:type="dxa" w:w="240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bCs/>
                <w:color w:val="1C2A38"/>
                <w:sz w:val="19"/>
                <w:szCs w:val="19"/>
              </w:rPr>
              <w:t xml:space="preserve">Materials On-Site</w:t>
            </w:r>
          </w:p>
        </w:tc>
        <w:tc>
          <w:tcPr>
            <w:tcW w:type="dxa" w:w="376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Building materials stored at the construction site awaiting installation — lumber, roofing materials, windows, HVAC equipment, plumbing fixtures, and all supplies</w:t>
            </w:r>
          </w:p>
        </w:tc>
        <w:tc>
          <w:tcPr>
            <w:tcW w:type="dxa" w:w="320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Theft of materials from construction sites is extremely common; fire and weather damage to stored materials before installation can halt a project</w:t>
            </w:r>
          </w:p>
        </w:tc>
      </w:tr>
      <w:tr>
        <w:tc>
          <w:tcPr>
            <w:tcW w:type="dxa" w:w="240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bCs/>
                <w:color w:val="1C2A38"/>
                <w:sz w:val="19"/>
                <w:szCs w:val="19"/>
              </w:rPr>
              <w:t xml:space="preserve">Materials in Transit</w:t>
            </w:r>
          </w:p>
        </w:tc>
        <w:tc>
          <w:tcPr>
            <w:tcW w:type="dxa" w:w="376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Building materials while being transported to the job site — from the supplier’s warehouse to the construction site</w:t>
            </w:r>
          </w:p>
        </w:tc>
        <w:tc>
          <w:tcPr>
            <w:tcW w:type="dxa" w:w="320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A delivery truck accident or theft during transit can destroy expensive materials before they ever reach the site</w:t>
            </w:r>
          </w:p>
        </w:tc>
      </w:tr>
      <w:tr>
        <w:tc>
          <w:tcPr>
            <w:tcW w:type="dxa" w:w="240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bCs/>
                <w:color w:val="1C2A38"/>
                <w:sz w:val="19"/>
                <w:szCs w:val="19"/>
              </w:rPr>
              <w:t xml:space="preserve">Soft Costs</w:t>
            </w:r>
          </w:p>
        </w:tc>
        <w:tc>
          <w:tcPr>
            <w:tcW w:type="dxa" w:w="376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Additional expenses incurred as a result of a covered loss — architect fees, engineering fees, permit re-application costs, construction loan interest, and carrying costs during delay</w:t>
            </w:r>
          </w:p>
        </w:tc>
        <w:tc>
          <w:tcPr>
            <w:tcW w:type="dxa" w:w="320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A major project loss creates cascading financial obligations beyond just rebuilding the structure; soft costs coverage prevents these from becoming uninsured losses</w:t>
            </w:r>
          </w:p>
        </w:tc>
      </w:tr>
      <w:tr>
        <w:tc>
          <w:tcPr>
            <w:tcW w:type="dxa" w:w="240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bCs/>
                <w:color w:val="1C2A38"/>
                <w:sz w:val="19"/>
                <w:szCs w:val="19"/>
              </w:rPr>
              <w:t xml:space="preserve">Business Income / Rental Value</w:t>
            </w:r>
          </w:p>
        </w:tc>
        <w:tc>
          <w:tcPr>
            <w:tcW w:type="dxa" w:w="376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Lost income or rental revenue during the extended completion period caused by a covered project loss</w:t>
            </w:r>
          </w:p>
        </w:tc>
        <w:tc>
          <w:tcPr>
            <w:tcW w:type="dxa" w:w="320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For commercial projects and rental properties, delayed completion directly reduces income; this coverage bridges the financial gap during extended repairs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460" w:sz="18"/>
              <w:bottom w:val="none" w:color="FFFFFF" w:sz="0"/>
              <w:right w:val="none" w:color="FFFFFF" w:sz="0"/>
            </w:tcBorders>
            <w:shd w:fill="EAF0F6" w:val="clear"/>
            <w:tcMar>
              <w:top w:type="dxa" w:w="110"/>
              <w:left w:type="dxa" w:w="200"/>
              <w:bottom w:type="dxa" w:w="110"/>
              <w:right w:type="dxa" w:w="160"/>
            </w:tcMar>
          </w:tcPr>
          <w:p>
            <w:pPr>
              <w:spacing w:after="0" w:before="0"/>
            </w:pPr>
            <w:r>
              <w:rPr>
                <w:rFonts w:ascii="Arial" w:cs="Arial" w:eastAsia="Arial" w:hAnsi="Arial"/>
                <w:b/>
                <w:bCs/>
                <w:color w:val="1C2A38"/>
                <w:sz w:val="20"/>
                <w:szCs w:val="20"/>
              </w:rPr>
              <w:t xml:space="preserve">Key Takeaway: </w:t>
            </w:r>
            <w:r>
              <w:rPr>
                <w:rFonts w:ascii="Arial" w:cs="Arial" w:eastAsia="Arial" w:hAnsi="Arial"/>
                <w:color w:val="2C3848"/>
                <w:sz w:val="20"/>
                <w:szCs w:val="20"/>
              </w:rPr>
              <w:t xml:space="preserve">Builders risk insurance is effective for a defined period — the construction timeline. When the project is complete and occupancy begins, the builders risk policy must be replaced with a permanent property insurance policy. Failing to make this transition leaves a newly completed building uninsured.</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C2A38" w:val="clear"/>
            <w:tcMar>
              <w:top w:type="dxa" w:w="160"/>
              <w:left w:type="dxa" w:w="240"/>
              <w:bottom w:type="dxa" w:w="160"/>
              <w:right w:type="dxa" w:w="240"/>
            </w:tcMar>
          </w:tcPr>
          <w:p>
            <w:pPr>
              <w:spacing w:after="0" w:before="0"/>
            </w:pPr>
            <w:r>
              <w:rPr>
                <w:rFonts w:ascii="Arial" w:cs="Arial" w:eastAsia="Arial" w:hAnsi="Arial"/>
                <w:b/>
                <w:bCs/>
                <w:color w:val="E8C880"/>
                <w:sz w:val="28"/>
                <w:szCs w:val="28"/>
              </w:rPr>
              <w:t xml:space="preserve">2.  </w:t>
            </w:r>
            <w:r>
              <w:rPr>
                <w:rFonts w:ascii="Arial" w:cs="Arial" w:eastAsia="Arial" w:hAnsi="Arial"/>
                <w:b/>
                <w:bCs/>
                <w:color w:val="FFFFFF"/>
                <w:sz w:val="28"/>
                <w:szCs w:val="28"/>
              </w:rPr>
              <w:t xml:space="preserve">How Builders Risk Differs from Homeowners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4"/>
          <w:sz w:val="22"/>
          <w:szCs w:val="22"/>
        </w:rPr>
        <w:t xml:space="preserve">Homeowners insurance and builders risk insurance are both property insurance products, but they are designed for fundamentally different stages of a building’s life. Homeowners insurance insures a completed, occupied dwelling. Builders risk insurance insures a structure that is being built or substantially renovated — a state that falls entirely outside what homeowners insurance is designed to cover.</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3A45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30"/>
            <w:tcBorders>
              <w:top w:val="none" w:color="FFFFFF" w:sz="0"/>
              <w:left w:val="none" w:color="FFFFFF" w:sz="0"/>
              <w:bottom w:val="none" w:color="FFFFFF" w:sz="0"/>
              <w:right w:val="none" w:color="FFFFFF" w:sz="0"/>
            </w:tcBorders>
            <w:shd w:fill="2E44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Insurance (HO-3)</w:t>
            </w:r>
          </w:p>
        </w:tc>
        <w:tc>
          <w:tcPr>
            <w:tcW w:type="dxa" w:w="3330"/>
            <w:tcBorders>
              <w:top w:val="none" w:color="FFFFFF" w:sz="0"/>
              <w:left w:val="none" w:color="FFFFFF" w:sz="0"/>
              <w:bottom w:val="none" w:color="FFFFFF" w:sz="0"/>
              <w:right w:val="none" w:color="FFFFFF" w:sz="0"/>
            </w:tcBorders>
            <w:shd w:fill="2E44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Builders Risk Insurance</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Property state</w:t>
            </w:r>
          </w:p>
        </w:tc>
        <w:tc>
          <w:tcPr>
            <w:tcW w:type="dxa" w:w="31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Completed, finished dwelling</w:t>
            </w:r>
          </w:p>
        </w:tc>
        <w:tc>
          <w:tcPr>
            <w:tcW w:type="dxa" w:w="33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Under construction or renovation</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Occupancy requirement</w:t>
            </w:r>
          </w:p>
        </w:tc>
        <w:tc>
          <w:tcPr>
            <w:tcW w:type="dxa" w:w="31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Owner or tenant occupied</w:t>
            </w:r>
          </w:p>
        </w:tc>
        <w:tc>
          <w:tcPr>
            <w:tcW w:type="dxa" w:w="33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Not yet occupied (under construction)</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Building coverage basis</w:t>
            </w:r>
          </w:p>
        </w:tc>
        <w:tc>
          <w:tcPr>
            <w:tcW w:type="dxa" w:w="31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Replacement cost of finished structure</w:t>
            </w:r>
          </w:p>
        </w:tc>
        <w:tc>
          <w:tcPr>
            <w:tcW w:type="dxa" w:w="33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Completed value or reporting form</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Materials coverage</w:t>
            </w:r>
          </w:p>
        </w:tc>
        <w:tc>
          <w:tcPr>
            <w:tcW w:type="dxa" w:w="31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Not applicable</w:t>
            </w:r>
          </w:p>
        </w:tc>
        <w:tc>
          <w:tcPr>
            <w:tcW w:type="dxa" w:w="33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On-site and in-transit materials covered</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Vacancy provisions</w:t>
            </w:r>
          </w:p>
        </w:tc>
        <w:tc>
          <w:tcPr>
            <w:tcW w:type="dxa" w:w="31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Coverage reduces after 30–60 days vacant</w:t>
            </w:r>
          </w:p>
        </w:tc>
        <w:tc>
          <w:tcPr>
            <w:tcW w:type="dxa" w:w="33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Vacancy is expected — no vacancy penalty</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Construction activity</w:t>
            </w:r>
          </w:p>
        </w:tc>
        <w:tc>
          <w:tcPr>
            <w:tcW w:type="dxa" w:w="31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Excluded; voids coverage</w:t>
            </w:r>
          </w:p>
        </w:tc>
        <w:tc>
          <w:tcPr>
            <w:tcW w:type="dxa" w:w="33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Core purpose of the policy</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Soft costs coverage</w:t>
            </w:r>
          </w:p>
        </w:tc>
        <w:tc>
          <w:tcPr>
            <w:tcW w:type="dxa" w:w="31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Not available</w:t>
            </w:r>
          </w:p>
        </w:tc>
        <w:tc>
          <w:tcPr>
            <w:tcW w:type="dxa" w:w="33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Available for architect, permit, loan costs</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Delay in completion</w:t>
            </w:r>
          </w:p>
        </w:tc>
        <w:tc>
          <w:tcPr>
            <w:tcW w:type="dxa" w:w="31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Not applicable</w:t>
            </w:r>
          </w:p>
        </w:tc>
        <w:tc>
          <w:tcPr>
            <w:tcW w:type="dxa" w:w="33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Available as endorsement</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Policy duration</w:t>
            </w:r>
          </w:p>
        </w:tc>
        <w:tc>
          <w:tcPr>
            <w:tcW w:type="dxa" w:w="31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Annual; renewable indefinitely</w:t>
            </w:r>
          </w:p>
        </w:tc>
        <w:tc>
          <w:tcPr>
            <w:tcW w:type="dxa" w:w="33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Project-specific; ends at completion</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Builder’s negligence</w:t>
            </w:r>
          </w:p>
        </w:tc>
        <w:tc>
          <w:tcPr>
            <w:tcW w:type="dxa" w:w="31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Not covered</w:t>
            </w:r>
          </w:p>
        </w:tc>
        <w:tc>
          <w:tcPr>
            <w:tcW w:type="dxa" w:w="33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Covered for resulting physical damage</w:t>
            </w:r>
          </w:p>
        </w:tc>
      </w:tr>
    </w:tbl>
    <w:p>
      <w:pPr>
        <w:spacing w:after="0" w:before="12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The Construction Activity Exclusion in Homeowners Policies</w:t>
      </w:r>
    </w:p>
    <w:p>
      <w:pPr>
        <w:spacing w:after="110" w:before="80"/>
      </w:pPr>
      <w:r>
        <w:rPr>
          <w:rFonts w:ascii="Arial" w:cs="Arial" w:eastAsia="Arial" w:hAnsi="Arial"/>
          <w:color w:val="141C24"/>
          <w:sz w:val="22"/>
          <w:szCs w:val="22"/>
        </w:rPr>
        <w:t xml:space="preserve">Standard homeowners policies contain an exclusion for buildings under construction. This exclusion applies in two important scenarios: when a homeowner builds a new home and attempts to insure the under-construction dwelling under a homeowners policy, and when a homeowner undertakes a major renovation that leaves the existing dwelling substantially exposed or partially dismantled.</w:t>
      </w:r>
    </w:p>
    <w:p>
      <w:pPr>
        <w:spacing w:after="0" w:before="80"/>
      </w:pPr>
      <w:r>
        <w:rPr>
          <w:rFonts w:ascii="Arial" w:cs="Arial" w:eastAsia="Arial" w:hAnsi="Arial"/>
        </w:rPr>
        <w:t xml:space="preserve"/>
      </w:r>
    </w:p>
    <w:p>
      <w:pPr>
        <w:spacing w:after="110" w:before="80"/>
      </w:pPr>
      <w:r>
        <w:rPr>
          <w:rFonts w:ascii="Arial" w:cs="Arial" w:eastAsia="Arial" w:hAnsi="Arial"/>
          <w:color w:val="141C24"/>
          <w:sz w:val="22"/>
          <w:szCs w:val="22"/>
        </w:rPr>
        <w:t xml:space="preserve">During a major kitchen gut renovation, bathroom addition, or whole-house renovation, the homeowner’s existing HO-3 policy may continue to provide limited protection — but only for the portions of the building not affected by construction. The renovation itself, the materials stored on-site, and the increased risks created by open walls, exposed wiring, and contractor foot traffic are typically excluded or significantly limited.</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Do Not Rely on Homeowners Insurance During Major Construction</w:t>
            </w:r>
          </w:p>
          <w:p>
            <w:pPr>
              <w:spacing w:after="0" w:before="0"/>
            </w:pPr>
            <w:r>
              <w:rPr>
                <w:rFonts w:ascii="Arial" w:cs="Arial" w:eastAsia="Arial" w:hAnsi="Arial"/>
                <w:color w:val="5A1010"/>
                <w:sz w:val="20"/>
                <w:szCs w:val="20"/>
              </w:rPr>
              <w:t xml:space="preserve">Property owners who begin significant construction or renovation without a builders risk policy are exposing themselves to enormous uninsured losses. A fire that destroys a partially renovated home — with open walls, exposed framing, and materials stored throughout — may find their homeowners claim denied or significantly limited based on the construction exclusion. Always secure builders risk coverage before construction begins.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C2A38" w:val="clear"/>
            <w:tcMar>
              <w:top w:type="dxa" w:w="160"/>
              <w:left w:type="dxa" w:w="240"/>
              <w:bottom w:type="dxa" w:w="160"/>
              <w:right w:type="dxa" w:w="240"/>
            </w:tcMar>
          </w:tcPr>
          <w:p>
            <w:pPr>
              <w:spacing w:after="0" w:before="0"/>
            </w:pPr>
            <w:r>
              <w:rPr>
                <w:rFonts w:ascii="Arial" w:cs="Arial" w:eastAsia="Arial" w:hAnsi="Arial"/>
                <w:b/>
                <w:bCs/>
                <w:color w:val="E8C880"/>
                <w:sz w:val="28"/>
                <w:szCs w:val="28"/>
              </w:rPr>
              <w:t xml:space="preserve">3.  </w:t>
            </w:r>
            <w:r>
              <w:rPr>
                <w:rFonts w:ascii="Arial" w:cs="Arial" w:eastAsia="Arial" w:hAnsi="Arial"/>
                <w:b/>
                <w:bCs/>
                <w:color w:val="FFFFFF"/>
                <w:sz w:val="28"/>
                <w:szCs w:val="28"/>
              </w:rPr>
              <w:t xml:space="preserve">How Builders Risk Differs from General Liability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4"/>
          <w:sz w:val="22"/>
          <w:szCs w:val="22"/>
        </w:rPr>
        <w:t xml:space="preserve">Builders risk insurance and general liability (GL) insurance are two distinct coverage types that are both essential on a construction project — but they cover entirely different things. Confusing the two is a common and dangerous mistake that leaves either the property or the liability exposure unprotected.</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080"/>
        <w:gridCol w:w="3380"/>
      </w:tblGrid>
      <w:tr>
        <w:tc>
          <w:tcPr>
            <w:tcW w:type="dxa" w:w="2900"/>
            <w:tcBorders>
              <w:top w:val="none" w:color="FFFFFF" w:sz="0"/>
              <w:left w:val="none" w:color="FFFFFF" w:sz="0"/>
              <w:bottom w:val="none" w:color="FFFFFF" w:sz="0"/>
              <w:right w:val="none" w:color="FFFFFF" w:sz="0"/>
            </w:tcBorders>
            <w:shd w:fill="3A45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080"/>
            <w:tcBorders>
              <w:top w:val="none" w:color="FFFFFF" w:sz="0"/>
              <w:left w:val="none" w:color="FFFFFF" w:sz="0"/>
              <w:bottom w:val="none" w:color="FFFFFF" w:sz="0"/>
              <w:right w:val="none" w:color="FFFFFF" w:sz="0"/>
            </w:tcBorders>
            <w:shd w:fill="2E44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Builders Risk Insurance</w:t>
            </w:r>
          </w:p>
        </w:tc>
        <w:tc>
          <w:tcPr>
            <w:tcW w:type="dxa" w:w="3380"/>
            <w:tcBorders>
              <w:top w:val="none" w:color="FFFFFF" w:sz="0"/>
              <w:left w:val="none" w:color="FFFFFF" w:sz="0"/>
              <w:bottom w:val="none" w:color="FFFFFF" w:sz="0"/>
              <w:right w:val="none" w:color="FFFFFF" w:sz="0"/>
            </w:tcBorders>
            <w:shd w:fill="2E44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General Liability Insurance</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What it protects</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The physical project — building &amp; materials</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Third-party claims of injury or damage</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Coverage type</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First-party property insurance</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Third-party liability insurance</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Trigger</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Physical loss or damage to the project</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A third party suffers injury or property damage</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Who benefits</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Project owner, lender, contractors</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Injured third parties and their attorneys</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Theft coverage</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Theft of materials from the job site</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 theft coverage</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Fire damage</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Fire damage to the structure and materials</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 fire damage coverage</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Worker injury</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Not covered (workers’ comp handles this)</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Third-party injuries from construction activity</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Faulty workmanship</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Excluded for the faulty work itself</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May cover resulting damage from faulty work</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Subcontractor damage</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Physical damage caused to project materials</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Third-party claims arising from sub’s work</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Required by lenders</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Yes — as condition of construction loan</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Yes — separately required by lenders</w:t>
            </w:r>
          </w:p>
        </w:tc>
      </w:tr>
    </w:tbl>
    <w:p>
      <w:pPr>
        <w:spacing w:after="0" w:before="12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Why Both Are Required on Every Construction Project</w:t>
      </w:r>
    </w:p>
    <w:p>
      <w:pPr>
        <w:spacing w:after="110" w:before="80"/>
      </w:pPr>
      <w:r>
        <w:rPr>
          <w:rFonts w:ascii="Arial" w:cs="Arial" w:eastAsia="Arial" w:hAnsi="Arial"/>
          <w:color w:val="141C24"/>
          <w:sz w:val="22"/>
          <w:szCs w:val="22"/>
        </w:rPr>
        <w:t xml:space="preserve">A construction project requires both builders risk insurance AND general liability insurance because they address completely different exposures. Builders risk covers what happens to the building being constructed — fire, storm, theft, collapse. General liability covers what the construction activity does to other people and other property — a worker accidentally damages a neighbor’s car, a passerby trips on a construction site, falling debris injures a pedestrian.</w:t>
      </w:r>
    </w:p>
    <w:p>
      <w:pPr>
        <w:spacing w:after="0" w:before="80"/>
      </w:pPr>
      <w:r>
        <w:rPr>
          <w:rFonts w:ascii="Arial" w:cs="Arial" w:eastAsia="Arial" w:hAnsi="Arial"/>
        </w:rPr>
        <w:t xml:space="preserve"/>
      </w:r>
    </w:p>
    <w:p>
      <w:pPr>
        <w:spacing w:after="110" w:before="80"/>
      </w:pPr>
      <w:r>
        <w:rPr>
          <w:rFonts w:ascii="Arial" w:cs="Arial" w:eastAsia="Arial" w:hAnsi="Arial"/>
          <w:color w:val="141C24"/>
          <w:sz w:val="22"/>
          <w:szCs w:val="22"/>
        </w:rPr>
        <w:t xml:space="preserve">Lenders financing construction projects typically require both policies as a condition of the construction loan. Local building permits may also require proof of general liability coverage. Builders risk and general liability work together to create a complete risk management foundation for any construction project.</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E6210" w:sz="18"/>
              <w:bottom w:val="none" w:color="FFFFFF" w:sz="0"/>
              <w:right w:val="none" w:color="FFFFFF" w:sz="0"/>
            </w:tcBorders>
            <w:shd w:fill="FBF5E8" w:val="clear"/>
            <w:tcMar>
              <w:top w:type="dxa" w:w="110"/>
              <w:left w:type="dxa" w:w="200"/>
              <w:bottom w:type="dxa" w:w="110"/>
              <w:right w:type="dxa" w:w="160"/>
            </w:tcMar>
          </w:tcPr>
          <w:p>
            <w:pPr>
              <w:spacing w:after="60" w:before="0"/>
            </w:pPr>
            <w:r>
              <w:rPr>
                <w:rFonts w:ascii="Arial" w:cs="Arial" w:eastAsia="Arial" w:hAnsi="Arial"/>
                <w:b/>
                <w:bCs/>
                <w:caps/>
                <w:color w:val="7A4800"/>
                <w:sz w:val="19"/>
                <w:szCs w:val="19"/>
              </w:rPr>
              <w:t xml:space="preserve">Workers’ Compensation — The Third Required Policy</w:t>
            </w:r>
          </w:p>
          <w:p>
            <w:pPr>
              <w:spacing w:after="0" w:before="0"/>
            </w:pPr>
            <w:r>
              <w:rPr>
                <w:rFonts w:ascii="Arial" w:cs="Arial" w:eastAsia="Arial" w:hAnsi="Arial"/>
                <w:color w:val="4A2800"/>
                <w:sz w:val="20"/>
                <w:szCs w:val="20"/>
              </w:rPr>
              <w:t xml:space="preserve">Beyond builders risk and general liability, any construction project with employees requires workers’ compensation insurance. Workers’ comp covers medical expenses and lost wages for workers injured on the job — a risk that is explicitly excluded from both builders risk and general liability policies. The three-policy combination — builders risk + GL + workers’ comp — forms the essential insurance foundation for any construction project with a workforce.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C2A38" w:val="clear"/>
            <w:tcMar>
              <w:top w:type="dxa" w:w="160"/>
              <w:left w:type="dxa" w:w="240"/>
              <w:bottom w:type="dxa" w:w="160"/>
              <w:right w:type="dxa" w:w="240"/>
            </w:tcMar>
          </w:tcPr>
          <w:p>
            <w:pPr>
              <w:spacing w:after="0" w:before="0"/>
            </w:pPr>
            <w:r>
              <w:rPr>
                <w:rFonts w:ascii="Arial" w:cs="Arial" w:eastAsia="Arial" w:hAnsi="Arial"/>
                <w:b/>
                <w:bCs/>
                <w:color w:val="E8C880"/>
                <w:sz w:val="28"/>
                <w:szCs w:val="28"/>
              </w:rPr>
              <w:t xml:space="preserve">4.  </w:t>
            </w:r>
            <w:r>
              <w:rPr>
                <w:rFonts w:ascii="Arial" w:cs="Arial" w:eastAsia="Arial" w:hAnsi="Arial"/>
                <w:b/>
                <w:bCs/>
                <w:color w:val="FFFFFF"/>
                <w:sz w:val="28"/>
                <w:szCs w:val="28"/>
              </w:rPr>
              <w:t xml:space="preserve">Why Standard Property Insurance Excludes Construction Projects</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4"/>
          <w:sz w:val="22"/>
          <w:szCs w:val="22"/>
        </w:rPr>
        <w:t xml:space="preserve">The exclusion of construction projects from standard property insurance policies is not arbitrary — it reflects the dramatically elevated and rapidly changing risk profile that construction creates. Standard property insurance is designed to cover a stable, completed building with known characteristics. A construction project is the opposite: it is a dynamic, high-risk environment where the risk profile changes daily.</w:t>
      </w:r>
    </w:p>
    <w:p>
      <w:pPr>
        <w:spacing w:after="0" w:before="10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Why Construction Is Too Risky for Standard Property Policies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4460"/>
          <w:sz w:val="22"/>
          <w:szCs w:val="22"/>
        </w:rPr>
        <w:t xml:space="preserve">Elevated fire risk — </w:t>
      </w:r>
      <w:r>
        <w:rPr>
          <w:rFonts w:ascii="Arial" w:cs="Arial" w:eastAsia="Arial" w:hAnsi="Arial"/>
          <w:color w:val="2C3848"/>
          <w:sz w:val="22"/>
          <w:szCs w:val="22"/>
        </w:rPr>
        <w:t xml:space="preserve">construction sites have dramatically higher fire risk than completed buildings due to the presence of combustible materials, hot work (welding, cutting), open electrical connections, and the absence of finished fire suppression systems</w:t>
      </w:r>
    </w:p>
    <w:p>
      <w:pPr>
        <w:pStyle w:val="ListParagraph"/>
        <w:numPr>
          <w:ilvl w:val="0"/>
          <w:numId w:val="2"/>
        </w:numPr>
        <w:spacing w:after="60" w:before="60"/>
      </w:pPr>
      <w:r>
        <w:rPr>
          <w:rFonts w:ascii="Arial" w:cs="Arial" w:eastAsia="Arial" w:hAnsi="Arial"/>
          <w:b/>
          <w:bCs/>
          <w:color w:val="2E4460"/>
          <w:sz w:val="22"/>
          <w:szCs w:val="22"/>
        </w:rPr>
        <w:t xml:space="preserve">Theft and vandalism — </w:t>
      </w:r>
      <w:r>
        <w:rPr>
          <w:rFonts w:ascii="Arial" w:cs="Arial" w:eastAsia="Arial" w:hAnsi="Arial"/>
          <w:color w:val="2C3848"/>
          <w:sz w:val="22"/>
          <w:szCs w:val="22"/>
        </w:rPr>
        <w:t xml:space="preserve">construction sites experience theft at rates far exceeding those of occupied buildings; lumber, copper, HVAC equipment, tools, and installed fixtures are frequently targeted; completed locks, doors, and security systems are absent during construction</w:t>
      </w:r>
    </w:p>
    <w:p>
      <w:pPr>
        <w:pStyle w:val="ListParagraph"/>
        <w:numPr>
          <w:ilvl w:val="0"/>
          <w:numId w:val="2"/>
        </w:numPr>
        <w:spacing w:after="60" w:before="60"/>
      </w:pPr>
      <w:r>
        <w:rPr>
          <w:rFonts w:ascii="Arial" w:cs="Arial" w:eastAsia="Arial" w:hAnsi="Arial"/>
          <w:b/>
          <w:bCs/>
          <w:color w:val="2E4460"/>
          <w:sz w:val="22"/>
          <w:szCs w:val="22"/>
        </w:rPr>
        <w:t xml:space="preserve">Collapse risk — </w:t>
      </w:r>
      <w:r>
        <w:rPr>
          <w:rFonts w:ascii="Arial" w:cs="Arial" w:eastAsia="Arial" w:hAnsi="Arial"/>
          <w:color w:val="2C3848"/>
          <w:sz w:val="22"/>
          <w:szCs w:val="22"/>
        </w:rPr>
        <w:t xml:space="preserve">partially constructed buildings have structural vulnerabilities that completed buildings do not; a wind event that would leave a finished building undamaged can collapse a partially framed structure</w:t>
      </w:r>
    </w:p>
    <w:p>
      <w:pPr>
        <w:pStyle w:val="ListParagraph"/>
        <w:numPr>
          <w:ilvl w:val="0"/>
          <w:numId w:val="2"/>
        </w:numPr>
        <w:spacing w:after="60" w:before="60"/>
      </w:pPr>
      <w:r>
        <w:rPr>
          <w:rFonts w:ascii="Arial" w:cs="Arial" w:eastAsia="Arial" w:hAnsi="Arial"/>
          <w:b/>
          <w:bCs/>
          <w:color w:val="2E4460"/>
          <w:sz w:val="22"/>
          <w:szCs w:val="22"/>
        </w:rPr>
        <w:t xml:space="preserve">Weather exposure — </w:t>
      </w:r>
      <w:r>
        <w:rPr>
          <w:rFonts w:ascii="Arial" w:cs="Arial" w:eastAsia="Arial" w:hAnsi="Arial"/>
          <w:color w:val="2C3848"/>
          <w:sz w:val="22"/>
          <w:szCs w:val="22"/>
        </w:rPr>
        <w:t xml:space="preserve">an unfinished building is dramatically more vulnerable to wind, rain, snow, and hail than a completed structure with a sealed exterior; open wall cavities, missing windows, and unfinished roofing create weather risk that does not exist in a completed building</w:t>
      </w:r>
    </w:p>
    <w:p>
      <w:pPr>
        <w:pStyle w:val="ListParagraph"/>
        <w:numPr>
          <w:ilvl w:val="0"/>
          <w:numId w:val="2"/>
        </w:numPr>
        <w:spacing w:after="60" w:before="60"/>
      </w:pPr>
      <w:r>
        <w:rPr>
          <w:rFonts w:ascii="Arial" w:cs="Arial" w:eastAsia="Arial" w:hAnsi="Arial"/>
          <w:b/>
          <w:bCs/>
          <w:color w:val="2E4460"/>
          <w:sz w:val="22"/>
          <w:szCs w:val="22"/>
        </w:rPr>
        <w:t xml:space="preserve">Rapidly changing insured value — </w:t>
      </w:r>
      <w:r>
        <w:rPr>
          <w:rFonts w:ascii="Arial" w:cs="Arial" w:eastAsia="Arial" w:hAnsi="Arial"/>
          <w:color w:val="2C3848"/>
          <w:sz w:val="22"/>
          <w:szCs w:val="22"/>
        </w:rPr>
        <w:t xml:space="preserve">the value of a construction project changes every day as materials are incorporated and labor is invested; standard annual property policies cannot accommodate the daily valuation changes of an active construction project</w:t>
      </w:r>
    </w:p>
    <w:p>
      <w:pPr>
        <w:pStyle w:val="ListParagraph"/>
        <w:numPr>
          <w:ilvl w:val="0"/>
          <w:numId w:val="2"/>
        </w:numPr>
        <w:spacing w:after="60" w:before="60"/>
      </w:pPr>
      <w:r>
        <w:rPr>
          <w:rFonts w:ascii="Arial" w:cs="Arial" w:eastAsia="Arial" w:hAnsi="Arial"/>
          <w:b/>
          <w:bCs/>
          <w:color w:val="2E4460"/>
          <w:sz w:val="22"/>
          <w:szCs w:val="22"/>
        </w:rPr>
        <w:t xml:space="preserve">Complex insured interest structure — </w:t>
      </w:r>
      <w:r>
        <w:rPr>
          <w:rFonts w:ascii="Arial" w:cs="Arial" w:eastAsia="Arial" w:hAnsi="Arial"/>
          <w:color w:val="2C3848"/>
          <w:sz w:val="22"/>
          <w:szCs w:val="22"/>
        </w:rPr>
        <w:t xml:space="preserve">construction projects involve multiple parties — owners, general contractors, subcontractors, lenders — who all have insurable interests in the project; standard property policies are designed for single-owner situations</w:t>
      </w:r>
    </w:p>
    <w:p>
      <w:pPr>
        <w:pStyle w:val="ListParagraph"/>
        <w:numPr>
          <w:ilvl w:val="0"/>
          <w:numId w:val="2"/>
        </w:numPr>
        <w:spacing w:after="60" w:before="60"/>
      </w:pPr>
      <w:r>
        <w:rPr>
          <w:rFonts w:ascii="Arial" w:cs="Arial" w:eastAsia="Arial" w:hAnsi="Arial"/>
          <w:b/>
          <w:bCs/>
          <w:color w:val="2E4460"/>
          <w:sz w:val="22"/>
          <w:szCs w:val="22"/>
        </w:rPr>
        <w:t xml:space="preserve">Faulty workmanship and design defects — </w:t>
      </w:r>
      <w:r>
        <w:rPr>
          <w:rFonts w:ascii="Arial" w:cs="Arial" w:eastAsia="Arial" w:hAnsi="Arial"/>
          <w:color w:val="2C3848"/>
          <w:sz w:val="22"/>
          <w:szCs w:val="22"/>
        </w:rPr>
        <w:t xml:space="preserve">construction projects introduce risks from contractor error and design defects that do not exist in completed, occupied buildings; standard property policies are not designed to price or cover these unique exposures</w:t>
      </w:r>
    </w:p>
    <w:p>
      <w:pPr>
        <w:spacing w:after="0" w:before="10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The Underwriting Challenge</w:t>
      </w:r>
    </w:p>
    <w:p>
      <w:pPr>
        <w:spacing w:after="110" w:before="80"/>
      </w:pPr>
      <w:r>
        <w:rPr>
          <w:rFonts w:ascii="Arial" w:cs="Arial" w:eastAsia="Arial" w:hAnsi="Arial"/>
          <w:color w:val="141C24"/>
          <w:sz w:val="22"/>
          <w:szCs w:val="22"/>
        </w:rPr>
        <w:t xml:space="preserve">Insurance underwriters price policies based on their ability to accurately assess and quantify the risks they are assuming. Standard property insurance underwriting is designed for stable, completed buildings with historical loss data. Construction projects change daily, involve new parties at each phase, and create risk scenarios that have no equivalent in the occupied building market.</w:t>
      </w:r>
    </w:p>
    <w:p>
      <w:pPr>
        <w:spacing w:after="0" w:before="80"/>
      </w:pPr>
      <w:r>
        <w:rPr>
          <w:rFonts w:ascii="Arial" w:cs="Arial" w:eastAsia="Arial" w:hAnsi="Arial"/>
        </w:rPr>
        <w:t xml:space="preserve"/>
      </w:r>
    </w:p>
    <w:p>
      <w:pPr>
        <w:spacing w:after="110" w:before="80"/>
      </w:pPr>
      <w:r>
        <w:rPr>
          <w:rFonts w:ascii="Arial" w:cs="Arial" w:eastAsia="Arial" w:hAnsi="Arial"/>
          <w:color w:val="141C24"/>
          <w:sz w:val="22"/>
          <w:szCs w:val="22"/>
        </w:rPr>
        <w:t xml:space="preserve">Builders risk underwriters are specialists who evaluate construction projects based on the project type, construction timeline, contractor qualifications, geographic exposure, and project security measures. This specialized underwriting allows builders risk policies to be priced accurately for the unique and dynamic risks of the construction environment.</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460" w:sz="18"/>
              <w:bottom w:val="none" w:color="FFFFFF" w:sz="0"/>
              <w:right w:val="none" w:color="FFFFFF" w:sz="0"/>
            </w:tcBorders>
            <w:shd w:fill="EAF0F6" w:val="clear"/>
            <w:tcMar>
              <w:top w:type="dxa" w:w="110"/>
              <w:left w:type="dxa" w:w="200"/>
              <w:bottom w:type="dxa" w:w="110"/>
              <w:right w:type="dxa" w:w="160"/>
            </w:tcMar>
          </w:tcPr>
          <w:p>
            <w:pPr>
              <w:spacing w:after="0" w:before="0"/>
            </w:pPr>
            <w:r>
              <w:rPr>
                <w:rFonts w:ascii="Arial" w:cs="Arial" w:eastAsia="Arial" w:hAnsi="Arial"/>
                <w:b/>
                <w:bCs/>
                <w:color w:val="1C2A38"/>
                <w:sz w:val="20"/>
                <w:szCs w:val="20"/>
              </w:rPr>
              <w:t xml:space="preserve">Key Takeaway: </w:t>
            </w:r>
            <w:r>
              <w:rPr>
                <w:rFonts w:ascii="Arial" w:cs="Arial" w:eastAsia="Arial" w:hAnsi="Arial"/>
                <w:color w:val="2C3848"/>
                <w:sz w:val="20"/>
                <w:szCs w:val="20"/>
              </w:rPr>
              <w:t xml:space="preserve">Standard property insurance is designed for stable, completed buildings. Construction is the opposite: dynamic, high-risk, and constantly changing. The exclusion of construction from standard policies is the reason builders risk insurance exists — and why it must be secured before the first shovel hits the ground.</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C2A38" w:val="clear"/>
            <w:tcMar>
              <w:top w:type="dxa" w:w="160"/>
              <w:left w:type="dxa" w:w="240"/>
              <w:bottom w:type="dxa" w:w="160"/>
              <w:right w:type="dxa" w:w="240"/>
            </w:tcMar>
          </w:tcPr>
          <w:p>
            <w:pPr>
              <w:spacing w:after="0" w:before="0"/>
            </w:pPr>
            <w:r>
              <w:rPr>
                <w:rFonts w:ascii="Arial" w:cs="Arial" w:eastAsia="Arial" w:hAnsi="Arial"/>
                <w:b/>
                <w:bCs/>
                <w:color w:val="E8C880"/>
                <w:sz w:val="28"/>
                <w:szCs w:val="28"/>
              </w:rPr>
              <w:t xml:space="preserve">5.  </w:t>
            </w:r>
            <w:r>
              <w:rPr>
                <w:rFonts w:ascii="Arial" w:cs="Arial" w:eastAsia="Arial" w:hAnsi="Arial"/>
                <w:b/>
                <w:bCs/>
                <w:color w:val="FFFFFF"/>
                <w:sz w:val="28"/>
                <w:szCs w:val="28"/>
              </w:rPr>
              <w:t xml:space="preserve">Who Needs Builders Risk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4"/>
          <w:sz w:val="22"/>
          <w:szCs w:val="22"/>
        </w:rPr>
        <w:t xml:space="preserve">Builders risk insurance is needed by any party with a financial interest in a construction project who would suffer a financial loss if the project were damaged or destroyed. This includes property owners, developers, general contractors, subcontractors, and lenders — often all on the same project. The question is not whether builders risk is needed, but who purchases it and how interests are properly structured.</w:t>
      </w:r>
    </w:p>
    <w:p>
      <w:pPr>
        <w:spacing w:after="0" w:before="10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Primary Parties Who Need Builders Risk</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4460"/>
          <w:sz w:val="22"/>
          <w:szCs w:val="22"/>
        </w:rPr>
        <w:t xml:space="preserve">Property owners and developers — </w:t>
      </w:r>
      <w:r>
        <w:rPr>
          <w:rFonts w:ascii="Arial" w:cs="Arial" w:eastAsia="Arial" w:hAnsi="Arial"/>
          <w:color w:val="2C3848"/>
          <w:sz w:val="22"/>
          <w:szCs w:val="22"/>
        </w:rPr>
        <w:t xml:space="preserve">anyone building a new structure or undertaking a major renovation has the largest financial interest in the project and the most to lose from an uninsured construction loss; the owner’s financial investment grows every day construction proceeds</w:t>
      </w:r>
    </w:p>
    <w:p>
      <w:pPr>
        <w:pStyle w:val="ListParagraph"/>
        <w:numPr>
          <w:ilvl w:val="0"/>
          <w:numId w:val="2"/>
        </w:numPr>
        <w:spacing w:after="60" w:before="60"/>
      </w:pPr>
      <w:r>
        <w:rPr>
          <w:rFonts w:ascii="Arial" w:cs="Arial" w:eastAsia="Arial" w:hAnsi="Arial"/>
          <w:b/>
          <w:bCs/>
          <w:color w:val="2E4460"/>
          <w:sz w:val="22"/>
          <w:szCs w:val="22"/>
        </w:rPr>
        <w:t xml:space="preserve">General contractors — </w:t>
      </w:r>
      <w:r>
        <w:rPr>
          <w:rFonts w:ascii="Arial" w:cs="Arial" w:eastAsia="Arial" w:hAnsi="Arial"/>
          <w:color w:val="2C3848"/>
          <w:sz w:val="22"/>
          <w:szCs w:val="22"/>
        </w:rPr>
        <w:t xml:space="preserve">general contractors may be contractually required to maintain builders risk on projects they manage; their financial exposure includes the cost of completed work, liability for delays, and the risk that an uninsured loss eliminates their profit margin or triggers a default claim from the owner</w:t>
      </w:r>
    </w:p>
    <w:p>
      <w:pPr>
        <w:pStyle w:val="ListParagraph"/>
        <w:numPr>
          <w:ilvl w:val="0"/>
          <w:numId w:val="2"/>
        </w:numPr>
        <w:spacing w:after="60" w:before="60"/>
      </w:pPr>
      <w:r>
        <w:rPr>
          <w:rFonts w:ascii="Arial" w:cs="Arial" w:eastAsia="Arial" w:hAnsi="Arial"/>
          <w:b/>
          <w:bCs/>
          <w:color w:val="2E4460"/>
          <w:sz w:val="22"/>
          <w:szCs w:val="22"/>
        </w:rPr>
        <w:t xml:space="preserve">Construction lenders — </w:t>
      </w:r>
      <w:r>
        <w:rPr>
          <w:rFonts w:ascii="Arial" w:cs="Arial" w:eastAsia="Arial" w:hAnsi="Arial"/>
          <w:color w:val="2C3848"/>
          <w:sz w:val="22"/>
          <w:szCs w:val="22"/>
        </w:rPr>
        <w:t xml:space="preserve">banks and other lenders financing construction projects require builders risk insurance as a condition of the construction loan; the lender’s collateral is the project under construction — if it burns down uninsured, the loan is uncollateralized</w:t>
      </w:r>
    </w:p>
    <w:p>
      <w:pPr>
        <w:pStyle w:val="ListParagraph"/>
        <w:numPr>
          <w:ilvl w:val="0"/>
          <w:numId w:val="2"/>
        </w:numPr>
        <w:spacing w:after="60" w:before="60"/>
      </w:pPr>
      <w:r>
        <w:rPr>
          <w:rFonts w:ascii="Arial" w:cs="Arial" w:eastAsia="Arial" w:hAnsi="Arial"/>
          <w:b/>
          <w:bCs/>
          <w:color w:val="2E4460"/>
          <w:sz w:val="22"/>
          <w:szCs w:val="22"/>
        </w:rPr>
        <w:t xml:space="preserve">Subcontractors — </w:t>
      </w:r>
      <w:r>
        <w:rPr>
          <w:rFonts w:ascii="Arial" w:cs="Arial" w:eastAsia="Arial" w:hAnsi="Arial"/>
          <w:color w:val="2C3848"/>
          <w:sz w:val="22"/>
          <w:szCs w:val="22"/>
        </w:rPr>
        <w:t xml:space="preserve">subcontractors with significant material investments in a project — HVAC contractors, electrical contractors, plumbers — may need their own coverage or be named as additional insureds on the project’s builders risk policy for their portion of the work</w:t>
      </w:r>
    </w:p>
    <w:p>
      <w:pPr>
        <w:pStyle w:val="ListParagraph"/>
        <w:numPr>
          <w:ilvl w:val="0"/>
          <w:numId w:val="2"/>
        </w:numPr>
        <w:spacing w:after="60" w:before="60"/>
      </w:pPr>
      <w:r>
        <w:rPr>
          <w:rFonts w:ascii="Arial" w:cs="Arial" w:eastAsia="Arial" w:hAnsi="Arial"/>
          <w:b/>
          <w:bCs/>
          <w:color w:val="2E4460"/>
          <w:sz w:val="22"/>
          <w:szCs w:val="22"/>
        </w:rPr>
        <w:t xml:space="preserve">Architects and engineers — </w:t>
      </w:r>
      <w:r>
        <w:rPr>
          <w:rFonts w:ascii="Arial" w:cs="Arial" w:eastAsia="Arial" w:hAnsi="Arial"/>
          <w:color w:val="2C3848"/>
          <w:sz w:val="22"/>
          <w:szCs w:val="22"/>
        </w:rPr>
        <w:t xml:space="preserve">design professionals whose completed designs are incorporated into a project have a financial interest in protecting against losses that would require their work to be recreated; soft costs coverage addresses professional fee rebuilding</w:t>
      </w:r>
    </w:p>
    <w:p>
      <w:pPr>
        <w:spacing w:after="0" w:before="10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Project Types That Need Builders Risk</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New Residential Construction</w:t>
            </w:r>
          </w:p>
          <w:p>
            <w:pPr>
              <w:spacing w:after="0" w:before="0"/>
            </w:pPr>
            <w:r>
              <w:rPr>
                <w:rFonts w:ascii="Arial" w:cs="Arial" w:eastAsia="Arial" w:hAnsi="Arial"/>
                <w:color w:val="2C3848"/>
                <w:sz w:val="20"/>
                <w:szCs w:val="20"/>
              </w:rPr>
              <w:t xml:space="preserve">Single-family homes, townhomes, condominiums, and multifamily residential projects under construction. Coverage begins with site preparation or when materials arrive on-site and extends through certificate of occupancy.</w:t>
            </w:r>
          </w:p>
        </w:tc>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Commercial New Construction</w:t>
            </w:r>
          </w:p>
          <w:p>
            <w:pPr>
              <w:spacing w:after="0" w:before="0"/>
            </w:pPr>
            <w:r>
              <w:rPr>
                <w:rFonts w:ascii="Arial" w:cs="Arial" w:eastAsia="Arial" w:hAnsi="Arial"/>
                <w:color w:val="2C3848"/>
                <w:sz w:val="20"/>
                <w:szCs w:val="20"/>
              </w:rPr>
              <w:t xml:space="preserve">Office buildings, retail centers, industrial facilities, warehouses, hotels, and any other commercial structure under construction. Commercial builders risk policies carry higher limits and may include business income coverage.</w:t>
            </w:r>
          </w:p>
        </w:tc>
      </w:tr>
      <w:tr>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Major Renovation Projects</w:t>
            </w:r>
          </w:p>
          <w:p>
            <w:pPr>
              <w:spacing w:after="0" w:before="0"/>
            </w:pPr>
            <w:r>
              <w:rPr>
                <w:rFonts w:ascii="Arial" w:cs="Arial" w:eastAsia="Arial" w:hAnsi="Arial"/>
                <w:color w:val="2C3848"/>
                <w:sz w:val="20"/>
                <w:szCs w:val="20"/>
              </w:rPr>
              <w:t xml:space="preserve">Gut renovations, additions, and substantial remodels that expose the building structure and create construction-level risks. The line between “major renovation” requiring builders risk and “minor improvement” covered by standard property insurance is an important threshold to confirm with your insurer.</w:t>
            </w:r>
          </w:p>
        </w:tc>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Infrastructure and Specialty</w:t>
            </w:r>
          </w:p>
          <w:p>
            <w:pPr>
              <w:spacing w:after="0" w:before="0"/>
            </w:pPr>
            <w:r>
              <w:rPr>
                <w:rFonts w:ascii="Arial" w:cs="Arial" w:eastAsia="Arial" w:hAnsi="Arial"/>
                <w:color w:val="2C3848"/>
                <w:sz w:val="20"/>
                <w:szCs w:val="20"/>
              </w:rPr>
              <w:t xml:space="preserve">Bridges, parking structures, water treatment facilities, and other infrastructure projects. These require specialty builders risk programs with coverage tailored to the unique risks of infrastructure construction.</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3A00" w:sz="18"/>
              <w:bottom w:val="none" w:color="FFFFFF" w:sz="0"/>
              <w:right w:val="none" w:color="FFFFFF" w:sz="0"/>
            </w:tcBorders>
            <w:shd w:fill="FDF4EE" w:val="clear"/>
            <w:tcMar>
              <w:top w:type="dxa" w:w="110"/>
              <w:left w:type="dxa" w:w="200"/>
              <w:bottom w:type="dxa" w:w="110"/>
              <w:right w:type="dxa" w:w="160"/>
            </w:tcMar>
          </w:tcPr>
          <w:p>
            <w:pPr>
              <w:spacing w:after="60" w:before="0"/>
            </w:pPr>
            <w:r>
              <w:rPr>
                <w:rFonts w:ascii="Arial" w:cs="Arial" w:eastAsia="Arial" w:hAnsi="Arial"/>
                <w:b/>
                <w:bCs/>
                <w:caps/>
                <w:color w:val="8B3A00"/>
                <w:sz w:val="19"/>
                <w:szCs w:val="19"/>
              </w:rPr>
              <w:t xml:space="preserve">The Cost of Going Without Builders Risk</w:t>
            </w:r>
          </w:p>
          <w:p>
            <w:pPr>
              <w:spacing w:after="0" w:before="0"/>
            </w:pPr>
            <w:r>
              <w:rPr>
                <w:rFonts w:ascii="Arial" w:cs="Arial" w:eastAsia="Arial" w:hAnsi="Arial"/>
                <w:color w:val="4A1C00"/>
                <w:sz w:val="20"/>
                <w:szCs w:val="20"/>
              </w:rPr>
              <w:t xml:space="preserve">A developer begins a $2.8 million custom home without securing builders risk insurance. During the framing stage, a spark from a hot-work operation ignites the partially framed structure, destroying $420,000 in completed work and stored materials. The construction lender demands immediate payment to protect their collateral. The developer’s standard homeowners policy denies the claim (construction exclusion). The $420,000 loss comes entirely out of the developer’s pocket.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C2A38" w:val="clear"/>
            <w:tcMar>
              <w:top w:type="dxa" w:w="160"/>
              <w:left w:type="dxa" w:w="240"/>
              <w:bottom w:type="dxa" w:w="160"/>
              <w:right w:type="dxa" w:w="240"/>
            </w:tcMar>
          </w:tcPr>
          <w:p>
            <w:pPr>
              <w:spacing w:after="0" w:before="0"/>
            </w:pPr>
            <w:r>
              <w:rPr>
                <w:rFonts w:ascii="Arial" w:cs="Arial" w:eastAsia="Arial" w:hAnsi="Arial"/>
                <w:b/>
                <w:bCs/>
                <w:color w:val="E8C880"/>
                <w:sz w:val="28"/>
                <w:szCs w:val="28"/>
              </w:rPr>
              <w:t xml:space="preserve">6.  </w:t>
            </w:r>
            <w:r>
              <w:rPr>
                <w:rFonts w:ascii="Arial" w:cs="Arial" w:eastAsia="Arial" w:hAnsi="Arial"/>
                <w:b/>
                <w:bCs/>
                <w:color w:val="FFFFFF"/>
                <w:sz w:val="28"/>
                <w:szCs w:val="28"/>
              </w:rPr>
              <w:t xml:space="preserve">Owner vs. Contractor Purchased Builders Risk Policies</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4"/>
          <w:sz w:val="22"/>
          <w:szCs w:val="22"/>
        </w:rPr>
        <w:t xml:space="preserve">One of the first decisions in structuring builders risk insurance for a construction project is determining who purchases the policy — the property owner or the general contractor. Both approaches are used in practice, and each has distinct advantages and implications for coverage quality, claims resolution, and contractual relationships.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Owner-Purchased Policy</w:t>
            </w:r>
          </w:p>
          <w:p>
            <w:pPr>
              <w:spacing w:after="0" w:before="0"/>
            </w:pPr>
            <w:r>
              <w:rPr>
                <w:rFonts w:ascii="Arial" w:cs="Arial" w:eastAsia="Arial" w:hAnsi="Arial"/>
                <w:color w:val="2C3848"/>
                <w:sz w:val="20"/>
                <w:szCs w:val="20"/>
              </w:rPr>
              <w:t xml:space="preserve">The property owner purchases the builders risk policy and names the contractor and other relevant parties as additional insureds. The owner controls the policy terms, insurer selection, and coverage limits. Owner-purchased policies are most common for residential new construction and large commercial developments where the owner has significant control over the project.</w:t>
            </w:r>
          </w:p>
        </w:tc>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Contractor-Purchased Policy</w:t>
            </w:r>
          </w:p>
          <w:p>
            <w:pPr>
              <w:spacing w:after="0" w:before="0"/>
            </w:pPr>
            <w:r>
              <w:rPr>
                <w:rFonts w:ascii="Arial" w:cs="Arial" w:eastAsia="Arial" w:hAnsi="Arial"/>
                <w:color w:val="2C3848"/>
                <w:sz w:val="20"/>
                <w:szCs w:val="20"/>
              </w:rPr>
              <w:t xml:space="preserve">The general contractor purchases the builders risk policy and names the owner and lender as additional insureds. Contractor-purchased policies are common on commercial projects where the contractor has an established insurance program and the project is part of a larger portfolio of work. The contractor controls policy selection but must meet the owner’s contract requirements.</w:t>
            </w:r>
          </w:p>
        </w:tc>
      </w:tr>
    </w:tbl>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3A45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Factor</w:t>
            </w:r>
          </w:p>
        </w:tc>
        <w:tc>
          <w:tcPr>
            <w:tcW w:type="dxa" w:w="3130"/>
            <w:tcBorders>
              <w:top w:val="none" w:color="FFFFFF" w:sz="0"/>
              <w:left w:val="none" w:color="FFFFFF" w:sz="0"/>
              <w:bottom w:val="none" w:color="FFFFFF" w:sz="0"/>
              <w:right w:val="none" w:color="FFFFFF" w:sz="0"/>
            </w:tcBorders>
            <w:shd w:fill="2E44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Owner-Purchased Policy</w:t>
            </w:r>
          </w:p>
        </w:tc>
        <w:tc>
          <w:tcPr>
            <w:tcW w:type="dxa" w:w="3330"/>
            <w:tcBorders>
              <w:top w:val="none" w:color="FFFFFF" w:sz="0"/>
              <w:left w:val="none" w:color="FFFFFF" w:sz="0"/>
              <w:bottom w:val="none" w:color="FFFFFF" w:sz="0"/>
              <w:right w:val="none" w:color="FFFFFF" w:sz="0"/>
            </w:tcBorders>
            <w:shd w:fill="2E44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Contractor-Purchased Policy</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Policy control</w:t>
            </w:r>
          </w:p>
        </w:tc>
        <w:tc>
          <w:tcPr>
            <w:tcW w:type="dxa" w:w="31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Owner selects carrier and terms</w:t>
            </w:r>
          </w:p>
        </w:tc>
        <w:tc>
          <w:tcPr>
            <w:tcW w:type="dxa" w:w="33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Contractor selects carrier and terms</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Claims control</w:t>
            </w:r>
          </w:p>
        </w:tc>
        <w:tc>
          <w:tcPr>
            <w:tcW w:type="dxa" w:w="31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Owner manages claim directly</w:t>
            </w:r>
          </w:p>
        </w:tc>
        <w:tc>
          <w:tcPr>
            <w:tcW w:type="dxa" w:w="33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Contractor manages claim; owner as AI</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Coverage alignment</w:t>
            </w:r>
          </w:p>
        </w:tc>
        <w:tc>
          <w:tcPr>
            <w:tcW w:type="dxa" w:w="31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Directly aligned with owner’s interests</w:t>
            </w:r>
          </w:p>
        </w:tc>
        <w:tc>
          <w:tcPr>
            <w:tcW w:type="dxa" w:w="33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May prioritize contractor’s interests</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Lender requirements</w:t>
            </w:r>
          </w:p>
        </w:tc>
        <w:tc>
          <w:tcPr>
            <w:tcW w:type="dxa" w:w="31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Owner satisfies lender requirement directly</w:t>
            </w:r>
          </w:p>
        </w:tc>
        <w:tc>
          <w:tcPr>
            <w:tcW w:type="dxa" w:w="33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Contractor provides coverage; owner verifies</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Conflict of interest</w:t>
            </w:r>
          </w:p>
        </w:tc>
        <w:tc>
          <w:tcPr>
            <w:tcW w:type="dxa" w:w="31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None — owner’s own policy</w:t>
            </w:r>
          </w:p>
        </w:tc>
        <w:tc>
          <w:tcPr>
            <w:tcW w:type="dxa" w:w="33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Potential conflict when contractor is at fault</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Policy portability</w:t>
            </w:r>
          </w:p>
        </w:tc>
        <w:tc>
          <w:tcPr>
            <w:tcW w:type="dxa" w:w="31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Stays with owner regardless of contractor</w:t>
            </w:r>
          </w:p>
        </w:tc>
        <w:tc>
          <w:tcPr>
            <w:tcW w:type="dxa" w:w="33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May change if contractor is replaced</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Cost allocation</w:t>
            </w:r>
          </w:p>
        </w:tc>
        <w:tc>
          <w:tcPr>
            <w:tcW w:type="dxa" w:w="31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Owner pays premium directly</w:t>
            </w:r>
          </w:p>
        </w:tc>
        <w:tc>
          <w:tcPr>
            <w:tcW w:type="dxa" w:w="33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Contractor may build into contract price</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Multiple contractors</w:t>
            </w:r>
          </w:p>
        </w:tc>
        <w:tc>
          <w:tcPr>
            <w:tcW w:type="dxa" w:w="31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One policy covers all parties under owner</w:t>
            </w:r>
          </w:p>
        </w:tc>
        <w:tc>
          <w:tcPr>
            <w:tcW w:type="dxa" w:w="33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Each contractor may have separate coverage</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Common in</w:t>
            </w:r>
          </w:p>
        </w:tc>
        <w:tc>
          <w:tcPr>
            <w:tcW w:type="dxa" w:w="31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Residential new builds; major developments</w:t>
            </w:r>
          </w:p>
        </w:tc>
        <w:tc>
          <w:tcPr>
            <w:tcW w:type="dxa" w:w="333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Commercial GC-managed projects</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Recommended when</w:t>
            </w:r>
          </w:p>
        </w:tc>
        <w:tc>
          <w:tcPr>
            <w:tcW w:type="dxa" w:w="31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Owner is sophisticated; large project value</w:t>
            </w:r>
          </w:p>
        </w:tc>
        <w:tc>
          <w:tcPr>
            <w:tcW w:type="dxa" w:w="333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Contractor has established program; smaller proj.</w:t>
            </w:r>
          </w:p>
        </w:tc>
      </w:tr>
    </w:tbl>
    <w:p>
      <w:pPr>
        <w:spacing w:after="0" w:before="12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The Conflict of Interest Problem</w:t>
      </w:r>
    </w:p>
    <w:p>
      <w:pPr>
        <w:spacing w:after="110" w:before="80"/>
      </w:pPr>
      <w:r>
        <w:rPr>
          <w:rFonts w:ascii="Arial" w:cs="Arial" w:eastAsia="Arial" w:hAnsi="Arial"/>
          <w:color w:val="141C24"/>
          <w:sz w:val="22"/>
          <w:szCs w:val="22"/>
        </w:rPr>
        <w:t xml:space="preserve">When a contractor purchases and controls a builders risk policy, a potential conflict of interest arises if the insured loss is caused by the contractor’s own negligence or a subcontractor’s error. The contractor controls the claims process and may have incentives that do not perfectly align with the owner’s interest in maximizing the claim recovery. Owners on large projects or with less experienced contractors should carefully consider whether to purchase their own policy.</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E6210" w:sz="18"/>
              <w:bottom w:val="none" w:color="FFFFFF" w:sz="0"/>
              <w:right w:val="none" w:color="FFFFFF" w:sz="0"/>
            </w:tcBorders>
            <w:shd w:fill="FBF5E8" w:val="clear"/>
            <w:tcMar>
              <w:top w:type="dxa" w:w="110"/>
              <w:left w:type="dxa" w:w="200"/>
              <w:bottom w:type="dxa" w:w="110"/>
              <w:right w:type="dxa" w:w="160"/>
            </w:tcMar>
          </w:tcPr>
          <w:p>
            <w:pPr>
              <w:spacing w:after="60" w:before="0"/>
            </w:pPr>
            <w:r>
              <w:rPr>
                <w:rFonts w:ascii="Arial" w:cs="Arial" w:eastAsia="Arial" w:hAnsi="Arial"/>
                <w:b/>
                <w:bCs/>
                <w:caps/>
                <w:color w:val="7A4800"/>
                <w:sz w:val="19"/>
                <w:szCs w:val="19"/>
              </w:rPr>
              <w:t xml:space="preserve">The Contract Controls Who Buys</w:t>
            </w:r>
          </w:p>
          <w:p>
            <w:pPr>
              <w:spacing w:after="0" w:before="0"/>
            </w:pPr>
            <w:r>
              <w:rPr>
                <w:rFonts w:ascii="Arial" w:cs="Arial" w:eastAsia="Arial" w:hAnsi="Arial"/>
                <w:color w:val="4A2800"/>
                <w:sz w:val="20"/>
                <w:szCs w:val="20"/>
              </w:rPr>
              <w:t xml:space="preserve">On most commercial projects, the construction contract (typically an AIA standard contract form) specifies who is responsible for purchasing builders risk insurance, what coverage limits are required, and who must be named as additional insureds. Review the contract carefully before assuming that either the owner or contractor has coverage in place — contract ambiguity is a leading cause of coverage gaps on construction projects.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460" w:sz="18"/>
              <w:bottom w:val="none" w:color="FFFFFF" w:sz="0"/>
              <w:right w:val="none" w:color="FFFFFF" w:sz="0"/>
            </w:tcBorders>
            <w:shd w:fill="EAF0F6" w:val="clear"/>
            <w:tcMar>
              <w:top w:type="dxa" w:w="110"/>
              <w:left w:type="dxa" w:w="200"/>
              <w:bottom w:type="dxa" w:w="110"/>
              <w:right w:type="dxa" w:w="160"/>
            </w:tcMar>
          </w:tcPr>
          <w:p>
            <w:pPr>
              <w:spacing w:after="0" w:before="0"/>
            </w:pPr>
            <w:r>
              <w:rPr>
                <w:rFonts w:ascii="Arial" w:cs="Arial" w:eastAsia="Arial" w:hAnsi="Arial"/>
                <w:b/>
                <w:bCs/>
                <w:color w:val="1C2A38"/>
                <w:sz w:val="20"/>
                <w:szCs w:val="20"/>
              </w:rPr>
              <w:t xml:space="preserve">Key Takeaway: </w:t>
            </w:r>
            <w:r>
              <w:rPr>
                <w:rFonts w:ascii="Arial" w:cs="Arial" w:eastAsia="Arial" w:hAnsi="Arial"/>
                <w:color w:val="2C3848"/>
                <w:sz w:val="20"/>
                <w:szCs w:val="20"/>
              </w:rPr>
              <w:t xml:space="preserve">Regardless of whether the owner or contractor purchases the policy, every party with a financial interest in the project — owner, contractor, lender, and key subcontractors — should be named as an additional insured on the builders risk policy. Additional insured status ensures that all parties can make claims and that their interests are protected.</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C2A38" w:val="clear"/>
            <w:tcMar>
              <w:top w:type="dxa" w:w="160"/>
              <w:left w:type="dxa" w:w="240"/>
              <w:bottom w:type="dxa" w:w="160"/>
              <w:right w:type="dxa" w:w="240"/>
            </w:tcMar>
          </w:tcPr>
          <w:p>
            <w:pPr>
              <w:spacing w:after="0" w:before="0"/>
            </w:pPr>
            <w:r>
              <w:rPr>
                <w:rFonts w:ascii="Arial" w:cs="Arial" w:eastAsia="Arial" w:hAnsi="Arial"/>
                <w:b/>
                <w:bCs/>
                <w:color w:val="E8C880"/>
                <w:sz w:val="28"/>
                <w:szCs w:val="28"/>
              </w:rPr>
              <w:t xml:space="preserve">7.  </w:t>
            </w:r>
            <w:r>
              <w:rPr>
                <w:rFonts w:ascii="Arial" w:cs="Arial" w:eastAsia="Arial" w:hAnsi="Arial"/>
                <w:b/>
                <w:bCs/>
                <w:color w:val="FFFFFF"/>
                <w:sz w:val="28"/>
                <w:szCs w:val="28"/>
              </w:rPr>
              <w:t xml:space="preserve">Residential vs. Commercial Builders Risk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4"/>
          <w:sz w:val="22"/>
          <w:szCs w:val="22"/>
        </w:rPr>
        <w:t xml:space="preserve">Builders risk insurance is available for both residential and commercial construction projects, but the two product categories differ significantly in coverage structure, policy limits, underwriting requirements, and available endorsements. The scale, complexity, and risk profile of commercial projects typically require more sophisticated builders risk programs than standard residential construction.</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080"/>
        <w:gridCol w:w="3380"/>
      </w:tblGrid>
      <w:tr>
        <w:tc>
          <w:tcPr>
            <w:tcW w:type="dxa" w:w="2900"/>
            <w:tcBorders>
              <w:top w:val="none" w:color="FFFFFF" w:sz="0"/>
              <w:left w:val="none" w:color="FFFFFF" w:sz="0"/>
              <w:bottom w:val="none" w:color="FFFFFF" w:sz="0"/>
              <w:right w:val="none" w:color="FFFFFF" w:sz="0"/>
            </w:tcBorders>
            <w:shd w:fill="3A45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080"/>
            <w:tcBorders>
              <w:top w:val="none" w:color="FFFFFF" w:sz="0"/>
              <w:left w:val="none" w:color="FFFFFF" w:sz="0"/>
              <w:bottom w:val="none" w:color="FFFFFF" w:sz="0"/>
              <w:right w:val="none" w:color="FFFFFF" w:sz="0"/>
            </w:tcBorders>
            <w:shd w:fill="2E44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Residential Builders Risk</w:t>
            </w:r>
          </w:p>
        </w:tc>
        <w:tc>
          <w:tcPr>
            <w:tcW w:type="dxa" w:w="3380"/>
            <w:tcBorders>
              <w:top w:val="none" w:color="FFFFFF" w:sz="0"/>
              <w:left w:val="none" w:color="FFFFFF" w:sz="0"/>
              <w:bottom w:val="none" w:color="FFFFFF" w:sz="0"/>
              <w:right w:val="none" w:color="FFFFFF" w:sz="0"/>
            </w:tcBorders>
            <w:shd w:fill="2E44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Commercial Builders Risk</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Project types</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Single-family homes, townhomes, condos</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Office, retail, industrial, multifamily</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Typical project value</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$200K–$2M+</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$500K to hundreds of millions</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Policy limits</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Matched to project value</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Higher limits; layered programs for large projects</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Soft costs coverage</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Available; simpler structure</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Essential; more complex cost categories</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Business income</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Rarely needed for residential</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Critical for commercial income-producing projects</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Multiple stakeholders</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Owner, builder, lender</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Owner, GC, multiple subs, lender, investor</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Survey requirements</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Generally not required</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Site inspection often required for large projects</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Underwriting complexity</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Relatively straightforward</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Complex; GC qualifications heavily scrutinized</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Delay in completion</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Less common endorsement</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Standard for commercial projects</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Testing and commissioning</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Rarely applicable</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Required for mechanical systems and HVAC testing</w:t>
            </w:r>
          </w:p>
        </w:tc>
      </w:tr>
    </w:tbl>
    <w:p>
      <w:pPr>
        <w:spacing w:after="0" w:before="12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Residential Builders Risk — Key Characteristics</w:t>
      </w:r>
    </w:p>
    <w:p>
      <w:pPr>
        <w:spacing w:after="110" w:before="80"/>
      </w:pPr>
      <w:r>
        <w:rPr>
          <w:rFonts w:ascii="Arial" w:cs="Arial" w:eastAsia="Arial" w:hAnsi="Arial"/>
          <w:color w:val="141C24"/>
          <w:sz w:val="22"/>
          <w:szCs w:val="22"/>
        </w:rPr>
        <w:t xml:space="preserve">Residential builders risk policies are designed for individual homebuilders, custom home developers, and renovation contractors working on single-family or small multifamily projects. They are typically simpler in structure, available from standard market carriers, and priced based on project value, construction type, and geographic location.</w:t>
      </w:r>
    </w:p>
    <w:p>
      <w:pPr>
        <w:spacing w:after="0" w:before="80"/>
      </w:pPr>
      <w:r>
        <w:rPr>
          <w:rFonts w:ascii="Arial" w:cs="Arial" w:eastAsia="Arial" w:hAnsi="Arial"/>
        </w:rPr>
        <w:t xml:space="preserve"/>
      </w:r>
    </w:p>
    <w:p>
      <w:pPr>
        <w:spacing w:after="110" w:before="80"/>
      </w:pPr>
      <w:r>
        <w:rPr>
          <w:rFonts w:ascii="Arial" w:cs="Arial" w:eastAsia="Arial" w:hAnsi="Arial"/>
          <w:color w:val="141C24"/>
          <w:sz w:val="22"/>
          <w:szCs w:val="22"/>
        </w:rPr>
        <w:t xml:space="preserve">For homeowners undertaking major renovations — additions, gut remodels, or second-story additions — a residential builders risk policy provides the coverage that their existing HO-3 homeowners policy does not address during the construction period. The builders risk policy runs concurrently with the homeowners policy and specifically addresses the construction risks.</w:t>
      </w:r>
    </w:p>
    <w:p>
      <w:pPr>
        <w:spacing w:after="0" w:before="10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Commercial Builders Risk — Key Characteristics</w:t>
      </w:r>
    </w:p>
    <w:p>
      <w:pPr>
        <w:spacing w:after="110" w:before="80"/>
      </w:pPr>
      <w:r>
        <w:rPr>
          <w:rFonts w:ascii="Arial" w:cs="Arial" w:eastAsia="Arial" w:hAnsi="Arial"/>
          <w:color w:val="141C24"/>
          <w:sz w:val="22"/>
          <w:szCs w:val="22"/>
        </w:rPr>
        <w:t xml:space="preserve">Commercial builders risk policies are designed for larger, more complex projects with higher values and multiple stakeholders. They typically include a broader range of coverage components — soft costs, delay in completion, business income, testing and commissioning — and may be structured as layered programs for very large projects where no single carrier is willing to take the full risk.</w:t>
      </w:r>
    </w:p>
    <w:p>
      <w:pPr>
        <w:spacing w:after="0" w:before="80"/>
      </w:pPr>
      <w:r>
        <w:rPr>
          <w:rFonts w:ascii="Arial" w:cs="Arial" w:eastAsia="Arial" w:hAnsi="Arial"/>
        </w:rPr>
        <w:t xml:space="preserve"/>
      </w:r>
    </w:p>
    <w:p>
      <w:pPr>
        <w:spacing w:after="110" w:before="80"/>
      </w:pPr>
      <w:r>
        <w:rPr>
          <w:rFonts w:ascii="Arial" w:cs="Arial" w:eastAsia="Arial" w:hAnsi="Arial"/>
          <w:color w:val="141C24"/>
          <w:sz w:val="22"/>
          <w:szCs w:val="22"/>
        </w:rPr>
        <w:t xml:space="preserve">Commercial builders risk underwriting focuses heavily on the general contractor’s experience and qualifications, the project team’s construction record, site security measures, and the construction timeline. A well-qualified project team with a strong safety record typically commands better terms and pricing.</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460" w:sz="18"/>
              <w:bottom w:val="none" w:color="FFFFFF" w:sz="0"/>
              <w:right w:val="none" w:color="FFFFFF" w:sz="0"/>
            </w:tcBorders>
            <w:shd w:fill="EAF0F6" w:val="clear"/>
            <w:tcMar>
              <w:top w:type="dxa" w:w="110"/>
              <w:left w:type="dxa" w:w="200"/>
              <w:bottom w:type="dxa" w:w="110"/>
              <w:right w:type="dxa" w:w="160"/>
            </w:tcMar>
          </w:tcPr>
          <w:p>
            <w:pPr>
              <w:spacing w:after="0" w:before="0"/>
            </w:pPr>
            <w:r>
              <w:rPr>
                <w:rFonts w:ascii="Arial" w:cs="Arial" w:eastAsia="Arial" w:hAnsi="Arial"/>
                <w:b/>
                <w:bCs/>
                <w:color w:val="1C2A38"/>
                <w:sz w:val="20"/>
                <w:szCs w:val="20"/>
              </w:rPr>
              <w:t xml:space="preserve">Key Takeaway: </w:t>
            </w:r>
            <w:r>
              <w:rPr>
                <w:rFonts w:ascii="Arial" w:cs="Arial" w:eastAsia="Arial" w:hAnsi="Arial"/>
                <w:color w:val="2C3848"/>
                <w:sz w:val="20"/>
                <w:szCs w:val="20"/>
              </w:rPr>
              <w:t xml:space="preserve">The fundamental distinction between residential and commercial builders risk is project complexity and stakeholder structure. Both require purpose-built builders risk coverage during construction — standard property insurance is inadequate for either. The difference is in policy sophistication, not in the need for coverage.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C2A38" w:val="clear"/>
            <w:tcMar>
              <w:top w:type="dxa" w:w="160"/>
              <w:left w:type="dxa" w:w="240"/>
              <w:bottom w:type="dxa" w:w="160"/>
              <w:right w:type="dxa" w:w="240"/>
            </w:tcMar>
          </w:tcPr>
          <w:p>
            <w:pPr>
              <w:spacing w:after="0" w:before="0"/>
            </w:pPr>
            <w:r>
              <w:rPr>
                <w:rFonts w:ascii="Arial" w:cs="Arial" w:eastAsia="Arial" w:hAnsi="Arial"/>
                <w:b/>
                <w:bCs/>
                <w:color w:val="E8C880"/>
                <w:sz w:val="28"/>
                <w:szCs w:val="28"/>
              </w:rPr>
              <w:t xml:space="preserve">8.  </w:t>
            </w:r>
            <w:r>
              <w:rPr>
                <w:rFonts w:ascii="Arial" w:cs="Arial" w:eastAsia="Arial" w:hAnsi="Arial"/>
                <w:b/>
                <w:bCs/>
                <w:color w:val="FFFFFF"/>
                <w:sz w:val="28"/>
                <w:szCs w:val="28"/>
              </w:rPr>
              <w:t xml:space="preserve">New Construction vs. Renovation Builders Risk</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4"/>
          <w:sz w:val="22"/>
          <w:szCs w:val="22"/>
        </w:rPr>
        <w:t xml:space="preserve">Builders risk insurance is available for both new construction projects (building from the ground up on a vacant site) and renovation projects (modifying, expanding, or rehabilitating an existing structure). While both types of projects need builders risk coverage, they have meaningfully different risk profiles, coverage structures, and underwriting considerations.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New Construction</w:t>
            </w:r>
          </w:p>
          <w:p>
            <w:pPr>
              <w:spacing w:after="0" w:before="0"/>
            </w:pPr>
            <w:r>
              <w:rPr>
                <w:rFonts w:ascii="Arial" w:cs="Arial" w:eastAsia="Arial" w:hAnsi="Arial"/>
                <w:color w:val="2C3848"/>
                <w:sz w:val="20"/>
                <w:szCs w:val="20"/>
              </w:rPr>
              <w:t xml:space="preserve">Building a new structure on a vacant site with no pre-existing building. The project starts from ground zero — site preparation, foundation, framing, and build-out. The risk is entirely the new construction; there is no existing building to preserve or protect during the project.</w:t>
            </w:r>
          </w:p>
        </w:tc>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Renovation / Remodel</w:t>
            </w:r>
          </w:p>
          <w:p>
            <w:pPr>
              <w:spacing w:after="0" w:before="0"/>
            </w:pPr>
            <w:r>
              <w:rPr>
                <w:rFonts w:ascii="Arial" w:cs="Arial" w:eastAsia="Arial" w:hAnsi="Arial"/>
                <w:color w:val="2C3848"/>
                <w:sz w:val="20"/>
                <w:szCs w:val="20"/>
              </w:rPr>
              <w:t xml:space="preserve">Modifying, expanding, or rehabilitating an existing structure. The project must account for both the existing building (which may be occupied in part) and the new construction work. This dual exposure creates a more complex insurance situation.</w:t>
            </w:r>
          </w:p>
        </w:tc>
      </w:tr>
      <w:tr>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Gut Renovation</w:t>
            </w:r>
          </w:p>
          <w:p>
            <w:pPr>
              <w:spacing w:after="0" w:before="0"/>
            </w:pPr>
            <w:r>
              <w:rPr>
                <w:rFonts w:ascii="Arial" w:cs="Arial" w:eastAsia="Arial" w:hAnsi="Arial"/>
                <w:color w:val="2C3848"/>
                <w:sz w:val="20"/>
                <w:szCs w:val="20"/>
              </w:rPr>
              <w:t xml:space="preserve">A full-scale interior renovation that strips the building to its structural shell and rebuilds from the inside out. The stripped structure is highly vulnerable during the construction period and requires builders risk coverage comparable to new construction.</w:t>
            </w:r>
          </w:p>
        </w:tc>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Addition and Expansion</w:t>
            </w:r>
          </w:p>
          <w:p>
            <w:pPr>
              <w:spacing w:after="0" w:before="0"/>
            </w:pPr>
            <w:r>
              <w:rPr>
                <w:rFonts w:ascii="Arial" w:cs="Arial" w:eastAsia="Arial" w:hAnsi="Arial"/>
                <w:color w:val="2C3848"/>
                <w:sz w:val="20"/>
                <w:szCs w:val="20"/>
              </w:rPr>
              <w:t xml:space="preserve">Adding square footage to an existing structure — a room addition, second story, or building extension. The existing structure remains in use while the addition is built, creating a situation where both the homeowners policy and a builders risk policy must coordinate carefully.</w:t>
            </w:r>
          </w:p>
        </w:tc>
      </w:tr>
    </w:tbl>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080"/>
        <w:gridCol w:w="3380"/>
      </w:tblGrid>
      <w:tr>
        <w:tc>
          <w:tcPr>
            <w:tcW w:type="dxa" w:w="2900"/>
            <w:tcBorders>
              <w:top w:val="none" w:color="FFFFFF" w:sz="0"/>
              <w:left w:val="none" w:color="FFFFFF" w:sz="0"/>
              <w:bottom w:val="none" w:color="FFFFFF" w:sz="0"/>
              <w:right w:val="none" w:color="FFFFFF" w:sz="0"/>
            </w:tcBorders>
            <w:shd w:fill="3A45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Risk Factor</w:t>
            </w:r>
          </w:p>
        </w:tc>
        <w:tc>
          <w:tcPr>
            <w:tcW w:type="dxa" w:w="3080"/>
            <w:tcBorders>
              <w:top w:val="none" w:color="FFFFFF" w:sz="0"/>
              <w:left w:val="none" w:color="FFFFFF" w:sz="0"/>
              <w:bottom w:val="none" w:color="FFFFFF" w:sz="0"/>
              <w:right w:val="none" w:color="FFFFFF" w:sz="0"/>
            </w:tcBorders>
            <w:shd w:fill="2E44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New Construction</w:t>
            </w:r>
          </w:p>
        </w:tc>
        <w:tc>
          <w:tcPr>
            <w:tcW w:type="dxa" w:w="3380"/>
            <w:tcBorders>
              <w:top w:val="none" w:color="FFFFFF" w:sz="0"/>
              <w:left w:val="none" w:color="FFFFFF" w:sz="0"/>
              <w:bottom w:val="none" w:color="FFFFFF" w:sz="0"/>
              <w:right w:val="none" w:color="FFFFFF" w:sz="0"/>
            </w:tcBorders>
            <w:shd w:fill="2E44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Renovation of Existing Building</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Existing building exposure</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None — vacant land only</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Existing structure at risk from construction activity</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Partial occupancy risk</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Not applicable</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Common — occupants may be present</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Existing contents risk</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Not applicable</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Owner’s personal property at risk during reno</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Fire risk</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High from hot work and materials</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Very high — plus existing structure and contents</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Water damage risk</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Open structure exposed to weather</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Both new work and existing structure exposed</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Utility coordination</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New utilities being installed</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Existing utilities may be disrupted or exposed</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Policy structure</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Completed value form typically used</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Reporting form or completed value with existing value</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Existing structure value</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Not applicable</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Must be accounted for in total insured value</w:t>
            </w:r>
          </w:p>
        </w:tc>
      </w:tr>
      <w:tr>
        <w:tc>
          <w:tcPr>
            <w:tcW w:type="dxa" w:w="290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Underwriting complexity</w:t>
            </w:r>
          </w:p>
        </w:tc>
        <w:tc>
          <w:tcPr>
            <w:tcW w:type="dxa" w:w="30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Moderate</w:t>
            </w:r>
          </w:p>
        </w:tc>
        <w:tc>
          <w:tcPr>
            <w:tcW w:type="dxa" w:w="3380"/>
            <w:tcBorders>
              <w:top w:val="single" w:color="A8B8C8" w:sz="1"/>
              <w:left w:val="single" w:color="A8B8C8" w:sz="1"/>
              <w:bottom w:val="single" w:color="A8B8C8" w:sz="1"/>
              <w:right w:val="single" w:color="A8B8C8"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Higher — partial occupancy and existing value</w:t>
            </w:r>
          </w:p>
        </w:tc>
      </w:tr>
      <w:tr>
        <w:tc>
          <w:tcPr>
            <w:tcW w:type="dxa" w:w="290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bCs/>
                <w:color w:val="141C24"/>
                <w:sz w:val="20"/>
                <w:szCs w:val="20"/>
              </w:rPr>
              <w:t xml:space="preserve">Homeowners coordination</w:t>
            </w:r>
          </w:p>
        </w:tc>
        <w:tc>
          <w:tcPr>
            <w:tcW w:type="dxa" w:w="30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Not applicable</w:t>
            </w:r>
          </w:p>
        </w:tc>
        <w:tc>
          <w:tcPr>
            <w:tcW w:type="dxa" w:w="3380"/>
            <w:tcBorders>
              <w:top w:val="single" w:color="A8B8C8" w:sz="1"/>
              <w:left w:val="single" w:color="A8B8C8" w:sz="1"/>
              <w:bottom w:val="single" w:color="A8B8C8" w:sz="1"/>
              <w:right w:val="single" w:color="A8B8C8" w:sz="1"/>
            </w:tcBorders>
            <w:shd w:fill="EAF0F6" w:val="clear"/>
            <w:tcMar>
              <w:top w:type="dxa" w:w="80"/>
              <w:left w:type="dxa" w:w="160"/>
              <w:bottom w:type="dxa" w:w="80"/>
              <w:right w:type="dxa" w:w="160"/>
            </w:tcMar>
          </w:tcPr>
          <w:p>
            <w:pPr>
              <w:spacing w:after="0" w:before="0"/>
            </w:pPr>
            <w:r>
              <w:rPr>
                <w:rFonts w:ascii="Arial" w:cs="Arial" w:eastAsia="Arial" w:hAnsi="Arial"/>
                <w:b w:val="false"/>
                <w:bCs w:val="false"/>
                <w:color w:val="2C3848"/>
                <w:sz w:val="20"/>
                <w:szCs w:val="20"/>
              </w:rPr>
              <w:t xml:space="preserve">Builders risk coordinates with existing HO policy</w:t>
            </w:r>
          </w:p>
        </w:tc>
      </w:tr>
    </w:tbl>
    <w:p>
      <w:pPr>
        <w:spacing w:after="0" w:before="12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The Renovation Coverage Challenge</w:t>
      </w:r>
    </w:p>
    <w:p>
      <w:pPr>
        <w:spacing w:after="110" w:before="80"/>
      </w:pPr>
      <w:r>
        <w:rPr>
          <w:rFonts w:ascii="Arial" w:cs="Arial" w:eastAsia="Arial" w:hAnsi="Arial"/>
          <w:color w:val="141C24"/>
          <w:sz w:val="22"/>
          <w:szCs w:val="22"/>
        </w:rPr>
        <w:t xml:space="preserve">Renovation projects create a particularly complex insurance situation because the existing building has value that is already insured under a standard property policy, and the renovation work adds new value that must be covered under a builders risk policy. Getting these two policies to coordinate without gaps or overlaps requires careful attention.</w:t>
      </w:r>
    </w:p>
    <w:p>
      <w:pPr>
        <w:spacing w:after="0" w:before="80"/>
      </w:pPr>
      <w:r>
        <w:rPr>
          <w:rFonts w:ascii="Arial" w:cs="Arial" w:eastAsia="Arial" w:hAnsi="Arial"/>
        </w:rPr>
        <w:t xml:space="preserve"/>
      </w:r>
    </w:p>
    <w:p>
      <w:pPr>
        <w:spacing w:after="110" w:before="80"/>
      </w:pPr>
      <w:r>
        <w:rPr>
          <w:rFonts w:ascii="Arial" w:cs="Arial" w:eastAsia="Arial" w:hAnsi="Arial"/>
          <w:color w:val="141C24"/>
          <w:sz w:val="22"/>
          <w:szCs w:val="22"/>
        </w:rPr>
        <w:t xml:space="preserve">A common approach for major renovations is to increase the existing property policy’s coverage to account for the renovation value, while also securing a separate builders risk policy for the new construction work and stored materials. The two policies must have clearly defined scopes to avoid coverage disputes if a loss occurs during construction.</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3A00" w:sz="18"/>
              <w:bottom w:val="none" w:color="FFFFFF" w:sz="0"/>
              <w:right w:val="none" w:color="FFFFFF" w:sz="0"/>
            </w:tcBorders>
            <w:shd w:fill="FDF4EE" w:val="clear"/>
            <w:tcMar>
              <w:top w:type="dxa" w:w="110"/>
              <w:left w:type="dxa" w:w="200"/>
              <w:bottom w:type="dxa" w:w="110"/>
              <w:right w:type="dxa" w:w="160"/>
            </w:tcMar>
          </w:tcPr>
          <w:p>
            <w:pPr>
              <w:spacing w:after="60" w:before="0"/>
            </w:pPr>
            <w:r>
              <w:rPr>
                <w:rFonts w:ascii="Arial" w:cs="Arial" w:eastAsia="Arial" w:hAnsi="Arial"/>
                <w:b/>
                <w:bCs/>
                <w:caps/>
                <w:color w:val="8B3A00"/>
                <w:sz w:val="19"/>
                <w:szCs w:val="19"/>
              </w:rPr>
              <w:t xml:space="preserve">Renovation Coverage Gap Example</w:t>
            </w:r>
          </w:p>
          <w:p>
            <w:pPr>
              <w:spacing w:after="0" w:before="0"/>
            </w:pPr>
            <w:r>
              <w:rPr>
                <w:rFonts w:ascii="Arial" w:cs="Arial" w:eastAsia="Arial" w:hAnsi="Arial"/>
                <w:color w:val="4A1C00"/>
                <w:sz w:val="20"/>
                <w:szCs w:val="20"/>
              </w:rPr>
              <w:t xml:space="preserve">A homeowner begins a $180,000 gut renovation. Their existing HO-3 homeowners policy remains in force but does not cover the renovation materials on-site or the increased value of the partially completed work. A plumbing contractor’s error causes a water intrusion that damages $55,000 in newly installed drywall, flooring, and electrical work. The homeowners insurer denies the claim (construction exclusion). Without a builders risk policy, the $55,000 is entirely uninsured.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460" w:sz="18"/>
              <w:bottom w:val="none" w:color="FFFFFF" w:sz="0"/>
              <w:right w:val="none" w:color="FFFFFF" w:sz="0"/>
            </w:tcBorders>
            <w:shd w:fill="EAF0F6" w:val="clear"/>
            <w:tcMar>
              <w:top w:type="dxa" w:w="110"/>
              <w:left w:type="dxa" w:w="200"/>
              <w:bottom w:type="dxa" w:w="110"/>
              <w:right w:type="dxa" w:w="160"/>
            </w:tcMar>
          </w:tcPr>
          <w:p>
            <w:pPr>
              <w:spacing w:after="0" w:before="0"/>
            </w:pPr>
            <w:r>
              <w:rPr>
                <w:rFonts w:ascii="Arial" w:cs="Arial" w:eastAsia="Arial" w:hAnsi="Arial"/>
                <w:b/>
                <w:bCs/>
                <w:color w:val="1C2A38"/>
                <w:sz w:val="20"/>
                <w:szCs w:val="20"/>
              </w:rPr>
              <w:t xml:space="preserve">Key Takeaway: </w:t>
            </w:r>
            <w:r>
              <w:rPr>
                <w:rFonts w:ascii="Arial" w:cs="Arial" w:eastAsia="Arial" w:hAnsi="Arial"/>
                <w:color w:val="2C3848"/>
                <w:sz w:val="20"/>
                <w:szCs w:val="20"/>
              </w:rPr>
              <w:t xml:space="preserve">For renovation projects, always clarify with your property insurer whether your existing policy covers the renovation work and stored materials. In most cases, the answer is no — which means a builders risk endorsement or standalone policy is required for the construction period. Secure this coverage before demolition begins.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C2A38" w:val="clear"/>
            <w:tcMar>
              <w:top w:type="dxa" w:w="160"/>
              <w:left w:type="dxa" w:w="240"/>
              <w:bottom w:type="dxa" w:w="160"/>
              <w:right w:type="dxa" w:w="240"/>
            </w:tcMar>
          </w:tcPr>
          <w:p>
            <w:pPr>
              <w:spacing w:after="0" w:before="0"/>
            </w:pPr>
            <w:r>
              <w:rPr>
                <w:rFonts w:ascii="Arial" w:cs="Arial" w:eastAsia="Arial" w:hAnsi="Arial"/>
                <w:b/>
                <w:bCs/>
                <w:color w:val="E8C880"/>
                <w:sz w:val="28"/>
                <w:szCs w:val="28"/>
              </w:rPr>
              <w:t xml:space="preserve">9.  </w:t>
            </w:r>
            <w:r>
              <w:rPr>
                <w:rFonts w:ascii="Arial" w:cs="Arial" w:eastAsia="Arial" w:hAnsi="Arial"/>
                <w:b/>
                <w:bCs/>
                <w:color w:val="FFFFFF"/>
                <w:sz w:val="28"/>
                <w:szCs w:val="28"/>
              </w:rPr>
              <w:t xml:space="preserve">Short-Term vs. Long-Term Construction Project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4"/>
          <w:sz w:val="22"/>
          <w:szCs w:val="22"/>
        </w:rPr>
        <w:t xml:space="preserve">Construction projects vary enormously in timeline — from a kitchen renovation completed in six weeks to a high-rise office tower taking three or more years to build. Builders risk insurance is designed to accommodate this range of project timelines, but the policy structure, premium calculation, and coverage considerations differ significantly between short-term and long-term projects.</w:t>
      </w:r>
    </w:p>
    <w:p>
      <w:pPr>
        <w:spacing w:after="0" w:before="10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Construction Project Timeline Categories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580"/>
        <w:gridCol w:w="2280"/>
        <w:gridCol w:w="2300"/>
      </w:tblGrid>
      <w:tr>
        <w:tc>
          <w:tcPr>
            <w:tcW w:type="dxa" w:w="2200"/>
            <w:tcBorders>
              <w:top w:val="none" w:color="FFFFFF" w:sz="0"/>
              <w:left w:val="none" w:color="FFFFFF" w:sz="0"/>
              <w:bottom w:val="none" w:color="FFFFFF" w:sz="0"/>
              <w:right w:val="none" w:color="FFFFFF" w:sz="0"/>
            </w:tcBorders>
            <w:shd w:fill="1C2A3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Project Phase</w:t>
            </w:r>
          </w:p>
        </w:tc>
        <w:tc>
          <w:tcPr>
            <w:tcW w:type="dxa" w:w="2580"/>
            <w:tcBorders>
              <w:top w:val="none" w:color="FFFFFF" w:sz="0"/>
              <w:left w:val="none" w:color="FFFFFF" w:sz="0"/>
              <w:bottom w:val="none" w:color="FFFFFF" w:sz="0"/>
              <w:right w:val="none" w:color="FFFFFF" w:sz="0"/>
            </w:tcBorders>
            <w:shd w:fill="1C2A3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What Is at Risk</w:t>
            </w:r>
          </w:p>
        </w:tc>
        <w:tc>
          <w:tcPr>
            <w:tcW w:type="dxa" w:w="2280"/>
            <w:tcBorders>
              <w:top w:val="none" w:color="FFFFFF" w:sz="0"/>
              <w:left w:val="none" w:color="FFFFFF" w:sz="0"/>
              <w:bottom w:val="none" w:color="FFFFFF" w:sz="0"/>
              <w:right w:val="none" w:color="FFFFFF" w:sz="0"/>
            </w:tcBorders>
            <w:shd w:fill="1C2A3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Key Coverage Need</w:t>
            </w:r>
          </w:p>
        </w:tc>
        <w:tc>
          <w:tcPr>
            <w:tcW w:type="dxa" w:w="2300"/>
            <w:tcBorders>
              <w:top w:val="none" w:color="FFFFFF" w:sz="0"/>
              <w:left w:val="none" w:color="FFFFFF" w:sz="0"/>
              <w:bottom w:val="none" w:color="FFFFFF" w:sz="0"/>
              <w:right w:val="none" w:color="FFFFFF" w:sz="0"/>
            </w:tcBorders>
            <w:shd w:fill="1C2A3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Policy Status</w:t>
            </w:r>
          </w:p>
        </w:tc>
      </w:tr>
      <w:tr>
        <w:tc>
          <w:tcPr>
            <w:tcW w:type="dxa" w:w="220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bCs/>
                <w:color w:val="1C2A38"/>
                <w:sz w:val="19"/>
                <w:szCs w:val="19"/>
              </w:rPr>
              <w:t xml:space="preserve">Site Preparation</w:t>
            </w:r>
          </w:p>
        </w:tc>
        <w:tc>
          <w:tcPr>
            <w:tcW w:type="dxa" w:w="258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Site work, utilities, foundation</w:t>
            </w:r>
          </w:p>
        </w:tc>
        <w:tc>
          <w:tcPr>
            <w:tcW w:type="dxa" w:w="228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Materials theft; weather damage to site</w:t>
            </w:r>
          </w:p>
        </w:tc>
        <w:tc>
          <w:tcPr>
            <w:tcW w:type="dxa" w:w="230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Coverage should begin</w:t>
            </w:r>
          </w:p>
        </w:tc>
      </w:tr>
      <w:tr>
        <w:tc>
          <w:tcPr>
            <w:tcW w:type="dxa" w:w="220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bCs/>
                <w:color w:val="1C2A38"/>
                <w:sz w:val="19"/>
                <w:szCs w:val="19"/>
              </w:rPr>
              <w:t xml:space="preserve">Foundation &amp; Framing</w:t>
            </w:r>
          </w:p>
        </w:tc>
        <w:tc>
          <w:tcPr>
            <w:tcW w:type="dxa" w:w="258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Concrete, steel, structural frame</w:t>
            </w:r>
          </w:p>
        </w:tc>
        <w:tc>
          <w:tcPr>
            <w:tcW w:type="dxa" w:w="228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Fire; storm; collapse of partial structure</w:t>
            </w:r>
          </w:p>
        </w:tc>
        <w:tc>
          <w:tcPr>
            <w:tcW w:type="dxa" w:w="230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Active builders risk required</w:t>
            </w:r>
          </w:p>
        </w:tc>
      </w:tr>
      <w:tr>
        <w:tc>
          <w:tcPr>
            <w:tcW w:type="dxa" w:w="220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bCs/>
                <w:color w:val="1C2A38"/>
                <w:sz w:val="19"/>
                <w:szCs w:val="19"/>
              </w:rPr>
              <w:t xml:space="preserve">Enclosed Structure</w:t>
            </w:r>
          </w:p>
        </w:tc>
        <w:tc>
          <w:tcPr>
            <w:tcW w:type="dxa" w:w="258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Exterior complete; interior in progress</w:t>
            </w:r>
          </w:p>
        </w:tc>
        <w:tc>
          <w:tcPr>
            <w:tcW w:type="dxa" w:w="228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Theft; water intrusion; contractor damage</w:t>
            </w:r>
          </w:p>
        </w:tc>
        <w:tc>
          <w:tcPr>
            <w:tcW w:type="dxa" w:w="230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Active builders risk required</w:t>
            </w:r>
          </w:p>
        </w:tc>
      </w:tr>
      <w:tr>
        <w:tc>
          <w:tcPr>
            <w:tcW w:type="dxa" w:w="220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bCs/>
                <w:color w:val="1C2A38"/>
                <w:sz w:val="19"/>
                <w:szCs w:val="19"/>
              </w:rPr>
              <w:t xml:space="preserve">Interior Finish</w:t>
            </w:r>
          </w:p>
        </w:tc>
        <w:tc>
          <w:tcPr>
            <w:tcW w:type="dxa" w:w="258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Flooring, fixtures, mechanical complete</w:t>
            </w:r>
          </w:p>
        </w:tc>
        <w:tc>
          <w:tcPr>
            <w:tcW w:type="dxa" w:w="228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Theft of fixtures; water damage</w:t>
            </w:r>
          </w:p>
        </w:tc>
        <w:tc>
          <w:tcPr>
            <w:tcW w:type="dxa" w:w="2300"/>
            <w:tcBorders>
              <w:top w:val="single" w:color="A8B8C8" w:sz="1"/>
              <w:left w:val="single" w:color="A8B8C8" w:sz="1"/>
              <w:bottom w:val="single" w:color="A8B8C8" w:sz="1"/>
              <w:right w:val="single" w:color="A8B8C8" w:sz="1"/>
            </w:tcBorders>
            <w:shd w:fill="EAF0F6"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Active builders risk required</w:t>
            </w:r>
          </w:p>
        </w:tc>
      </w:tr>
      <w:tr>
        <w:tc>
          <w:tcPr>
            <w:tcW w:type="dxa" w:w="220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bCs/>
                <w:color w:val="1C2A38"/>
                <w:sz w:val="19"/>
                <w:szCs w:val="19"/>
              </w:rPr>
              <w:t xml:space="preserve">Project Completion</w:t>
            </w:r>
          </w:p>
        </w:tc>
        <w:tc>
          <w:tcPr>
            <w:tcW w:type="dxa" w:w="258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Certificate of occupancy issued</w:t>
            </w:r>
          </w:p>
        </w:tc>
        <w:tc>
          <w:tcPr>
            <w:tcW w:type="dxa" w:w="228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Transition from BR to permanent policy</w:t>
            </w:r>
          </w:p>
        </w:tc>
        <w:tc>
          <w:tcPr>
            <w:tcW w:type="dxa" w:w="2300"/>
            <w:tcBorders>
              <w:top w:val="single" w:color="A8B8C8" w:sz="1"/>
              <w:left w:val="single" w:color="A8B8C8" w:sz="1"/>
              <w:bottom w:val="single" w:color="A8B8C8" w:sz="1"/>
              <w:right w:val="single" w:color="A8B8C8"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848"/>
                <w:sz w:val="19"/>
                <w:szCs w:val="19"/>
              </w:rPr>
              <w:t xml:space="preserve">Builders risk expires; new policy begins</w:t>
            </w:r>
          </w:p>
        </w:tc>
      </w:tr>
    </w:tbl>
    <w:p>
      <w:pPr>
        <w:spacing w:after="0" w:before="10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Short-Term Projects (Under 12 Months)</w:t>
      </w:r>
    </w:p>
    <w:p>
      <w:pPr>
        <w:spacing w:after="110" w:before="80"/>
      </w:pPr>
      <w:r>
        <w:rPr>
          <w:rFonts w:ascii="Arial" w:cs="Arial" w:eastAsia="Arial" w:hAnsi="Arial"/>
          <w:color w:val="141C24"/>
          <w:sz w:val="22"/>
          <w:szCs w:val="22"/>
        </w:rPr>
        <w:t xml:space="preserve">Short-term construction projects — residential additions, kitchen and bathroom renovations, and smaller commercial tenant improvements — typically use a single-term builders risk policy for the anticipated project duration. Premium is calculated as a percentage of the total completed value, and the policy is issued for the expected completion timeline with extension options if the project runs over schedule.</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Policy Duration</w:t>
            </w:r>
          </w:p>
          <w:p>
            <w:pPr>
              <w:spacing w:after="0" w:before="0"/>
            </w:pPr>
            <w:r>
              <w:rPr>
                <w:rFonts w:ascii="Arial" w:cs="Arial" w:eastAsia="Arial" w:hAnsi="Arial"/>
                <w:color w:val="2C3848"/>
                <w:sz w:val="20"/>
                <w:szCs w:val="20"/>
              </w:rPr>
              <w:t xml:space="preserve">Typically 3, 6, or 12 months. Short-term projects often select the shortest available term that covers the expected construction period, with the option to extend if delays occur.</w:t>
            </w:r>
          </w:p>
        </w:tc>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Extension Provisions</w:t>
            </w:r>
          </w:p>
          <w:p>
            <w:pPr>
              <w:spacing w:after="0" w:before="0"/>
            </w:pPr>
            <w:r>
              <w:rPr>
                <w:rFonts w:ascii="Arial" w:cs="Arial" w:eastAsia="Arial" w:hAnsi="Arial"/>
                <w:color w:val="2C3848"/>
                <w:sz w:val="20"/>
                <w:szCs w:val="20"/>
              </w:rPr>
              <w:t xml:space="preserve">Most builders risk policies include extension provisions that allow the policy to be extended for 30–90 days if the project is not complete at policy expiration. Extensions should be secured before the policy expires — a lapsed builders risk policy leaves the project uninsured.</w:t>
            </w:r>
          </w:p>
        </w:tc>
      </w:tr>
      <w:tr>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Premium Structure</w:t>
            </w:r>
          </w:p>
          <w:p>
            <w:pPr>
              <w:spacing w:after="0" w:before="0"/>
            </w:pPr>
            <w:r>
              <w:rPr>
                <w:rFonts w:ascii="Arial" w:cs="Arial" w:eastAsia="Arial" w:hAnsi="Arial"/>
                <w:color w:val="2C3848"/>
                <w:sz w:val="20"/>
                <w:szCs w:val="20"/>
              </w:rPr>
              <w:t xml:space="preserve">Premium for short-term projects is typically a flat rate based on the completed value and project duration. The premium is earned over the policy period and is not pro-rated back if the project completes early.</w:t>
            </w:r>
          </w:p>
        </w:tc>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
            </w:r>
          </w:p>
          <w:p>
            <w:pPr>
              <w:spacing w:after="0" w:before="0"/>
            </w:pPr>
            <w:r>
              <w:rPr>
                <w:rFonts w:ascii="Arial" w:cs="Arial" w:eastAsia="Arial" w:hAnsi="Arial"/>
                <w:color w:val="2C3848"/>
                <w:sz w:val="20"/>
                <w:szCs w:val="20"/>
              </w:rPr>
              <w:t xml:space="preserve"/>
            </w:r>
          </w:p>
        </w:tc>
      </w:tr>
    </w:tbl>
    <w:p>
      <w:pPr>
        <w:spacing w:after="0" w:before="10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Long-Term Projects (12+ Months)</w:t>
      </w:r>
    </w:p>
    <w:p>
      <w:pPr>
        <w:spacing w:after="110" w:before="80"/>
      </w:pPr>
      <w:r>
        <w:rPr>
          <w:rFonts w:ascii="Arial" w:cs="Arial" w:eastAsia="Arial" w:hAnsi="Arial"/>
          <w:color w:val="141C24"/>
          <w:sz w:val="22"/>
          <w:szCs w:val="22"/>
        </w:rPr>
        <w:t xml:space="preserve">Long-term construction projects — new commercial buildings, large multifamily developments, and complex infrastructure projects — require builders risk policies designed for extended timelines and the increased complexity of large-scale construction. These policies may use a reporting form structure where the insured value is reported monthly as the project value grows.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Reporting Form</w:t>
            </w:r>
          </w:p>
          <w:p>
            <w:pPr>
              <w:spacing w:after="0" w:before="0"/>
            </w:pPr>
            <w:r>
              <w:rPr>
                <w:rFonts w:ascii="Arial" w:cs="Arial" w:eastAsia="Arial" w:hAnsi="Arial"/>
                <w:color w:val="2C3848"/>
                <w:sz w:val="20"/>
                <w:szCs w:val="20"/>
              </w:rPr>
              <w:t xml:space="preserve">A reporting form builders risk policy requires the insured to report the current project value to the insurer monthly. Premium is calculated on the reported value, which grows as the project progresses. This approach accurately matches coverage to value at each stage of construction.</w:t>
            </w:r>
          </w:p>
        </w:tc>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Completed Value Form</w:t>
            </w:r>
          </w:p>
          <w:p>
            <w:pPr>
              <w:spacing w:after="0" w:before="0"/>
            </w:pPr>
            <w:r>
              <w:rPr>
                <w:rFonts w:ascii="Arial" w:cs="Arial" w:eastAsia="Arial" w:hAnsi="Arial"/>
                <w:color w:val="2C3848"/>
                <w:sz w:val="20"/>
                <w:szCs w:val="20"/>
              </w:rPr>
              <w:t xml:space="preserve">A completed value form insures the project at its anticipated completed value from the policy’s inception. The premium is paid up front on the full completed value, regardless of the current stage of construction. This approach is simpler to administer but may result in overpayment early in the project.</w:t>
            </w:r>
          </w:p>
        </w:tc>
      </w:tr>
      <w:tr>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Delay in Completion</w:t>
            </w:r>
          </w:p>
          <w:p>
            <w:pPr>
              <w:spacing w:after="0" w:before="0"/>
            </w:pPr>
            <w:r>
              <w:rPr>
                <w:rFonts w:ascii="Arial" w:cs="Arial" w:eastAsia="Arial" w:hAnsi="Arial"/>
                <w:color w:val="2C3848"/>
                <w:sz w:val="20"/>
                <w:szCs w:val="20"/>
              </w:rPr>
              <w:t xml:space="preserve">Long-term projects carry significant delay risk. A fire, storm, or major theft that sets a project back months can eliminate the profit margin on a development or trigger lender default provisions. Delay in completion coverage addresses the financial consequences of extended construction timelines caused by covered losses.</w:t>
            </w:r>
          </w:p>
        </w:tc>
        <w:tc>
          <w:tcPr>
            <w:tcW w:type="dxa" w:w="4620"/>
            <w:tcBorders>
              <w:top w:val="single" w:color="A8B8C8" w:sz="1"/>
              <w:left w:val="single" w:color="A8B8C8" w:sz="1"/>
              <w:bottom w:val="single" w:color="A8B8C8" w:sz="1"/>
              <w:right w:val="single" w:color="A8B8C8" w:sz="1"/>
            </w:tcBorders>
            <w:shd w:fill="EAF0F6" w:val="clear"/>
            <w:tcMar>
              <w:top w:type="dxa" w:w="110"/>
              <w:left w:type="dxa" w:w="160"/>
              <w:bottom w:type="dxa" w:w="110"/>
              <w:right w:type="dxa" w:w="160"/>
            </w:tcMar>
          </w:tcPr>
          <w:p>
            <w:pPr>
              <w:spacing w:after="60" w:before="0"/>
            </w:pPr>
            <w:r>
              <w:rPr>
                <w:rFonts w:ascii="Arial" w:cs="Arial" w:eastAsia="Arial" w:hAnsi="Arial"/>
                <w:b/>
                <w:bCs/>
                <w:color w:val="2E4460"/>
                <w:sz w:val="19"/>
                <w:szCs w:val="19"/>
              </w:rPr>
              <w:t xml:space="preserve">Project Extensions</w:t>
            </w:r>
          </w:p>
          <w:p>
            <w:pPr>
              <w:spacing w:after="0" w:before="0"/>
            </w:pPr>
            <w:r>
              <w:rPr>
                <w:rFonts w:ascii="Arial" w:cs="Arial" w:eastAsia="Arial" w:hAnsi="Arial"/>
                <w:color w:val="2C3848"/>
                <w:sz w:val="20"/>
                <w:szCs w:val="20"/>
              </w:rPr>
              <w:t xml:space="preserve">Long-term projects frequently experience timeline delays from weather, material supply chain issues, permitting delays, and contractor scheduling. Ensure the builders risk policy includes provisions for project extensions and understand the notification requirements to keep coverage in force through delays.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Never Let a Builders Risk Policy Lapse During Construction</w:t>
            </w:r>
          </w:p>
          <w:p>
            <w:pPr>
              <w:spacing w:after="0" w:before="0"/>
            </w:pPr>
            <w:r>
              <w:rPr>
                <w:rFonts w:ascii="Arial" w:cs="Arial" w:eastAsia="Arial" w:hAnsi="Arial"/>
                <w:color w:val="5A1010"/>
                <w:sz w:val="20"/>
                <w:szCs w:val="20"/>
              </w:rPr>
              <w:t xml:space="preserve">A lapsed builders risk policy during active construction leaves the entire project value uninsured. Monitor policy expiration dates carefully and secure extensions before expiration if the project is not complete. Insurance carriers typically require notice 30–60 days before expiration to process an extension. A fire or storm on the day after a lapsed policy is a catastrophic, entirely preventable loss.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460" w:sz="18"/>
              <w:bottom w:val="none" w:color="FFFFFF" w:sz="0"/>
              <w:right w:val="none" w:color="FFFFFF" w:sz="0"/>
            </w:tcBorders>
            <w:shd w:fill="EAF0F6" w:val="clear"/>
            <w:tcMar>
              <w:top w:type="dxa" w:w="110"/>
              <w:left w:type="dxa" w:w="200"/>
              <w:bottom w:type="dxa" w:w="110"/>
              <w:right w:type="dxa" w:w="160"/>
            </w:tcMar>
          </w:tcPr>
          <w:p>
            <w:pPr>
              <w:spacing w:after="0" w:before="0"/>
            </w:pPr>
            <w:r>
              <w:rPr>
                <w:rFonts w:ascii="Arial" w:cs="Arial" w:eastAsia="Arial" w:hAnsi="Arial"/>
                <w:b/>
                <w:bCs/>
                <w:color w:val="1C2A38"/>
                <w:sz w:val="20"/>
                <w:szCs w:val="20"/>
              </w:rPr>
              <w:t xml:space="preserve">Key Takeaway: </w:t>
            </w:r>
            <w:r>
              <w:rPr>
                <w:rFonts w:ascii="Arial" w:cs="Arial" w:eastAsia="Arial" w:hAnsi="Arial"/>
                <w:color w:val="2C3848"/>
                <w:sz w:val="20"/>
                <w:szCs w:val="20"/>
              </w:rPr>
              <w:t xml:space="preserve">Match the builders risk policy term to the realistic construction timeline, with buffer for expected delays. Build in extension provisions, set calendar reminders for policy expiration, and proactively extend coverage if the project is running behind schedule. The cost of a policy extension is trivial compared to the exposure of an uninsured project.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C2A38" w:val="clear"/>
            <w:tcMar>
              <w:top w:type="dxa" w:w="160"/>
              <w:left w:type="dxa" w:w="240"/>
              <w:bottom w:type="dxa" w:w="160"/>
              <w:right w:type="dxa" w:w="240"/>
            </w:tcMar>
          </w:tcPr>
          <w:p>
            <w:pPr>
              <w:spacing w:after="0" w:before="0"/>
            </w:pPr>
            <w:r>
              <w:rPr>
                <w:rFonts w:ascii="Arial" w:cs="Arial" w:eastAsia="Arial" w:hAnsi="Arial"/>
                <w:b/>
                <w:bCs/>
                <w:color w:val="E8C880"/>
                <w:sz w:val="28"/>
                <w:szCs w:val="28"/>
              </w:rPr>
              <w:t xml:space="preserve">10.  </w:t>
            </w:r>
            <w:r>
              <w:rPr>
                <w:rFonts w:ascii="Arial" w:cs="Arial" w:eastAsia="Arial" w:hAnsi="Arial"/>
                <w:b/>
                <w:bCs/>
                <w:color w:val="FFFFFF"/>
                <w:sz w:val="28"/>
                <w:szCs w:val="28"/>
              </w:rPr>
              <w:t xml:space="preserve">Role of Builders Risk in a Total Insurance Program</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4"/>
          <w:sz w:val="22"/>
          <w:szCs w:val="22"/>
        </w:rPr>
        <w:t xml:space="preserve">Builders risk insurance is a temporary but essential component of a comprehensive property and liability insurance program. It bridges the gap between pre-construction property ownership and post-completion permanent insurance, addressing risks that no other policy in the program is designed to cover. Understanding how builders risk fits into the complete program — and how it transitions to permanent coverage at completion — is critical to maintaining continuous protection throughout a project’s lifecycle.</w:t>
      </w:r>
    </w:p>
    <w:p>
      <w:pPr>
        <w:spacing w:after="0" w:before="10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The Complete Construction Risk Management Program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shd w:fill="1C2A3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Builders Risk Policy</w:t>
            </w:r>
          </w:p>
        </w:tc>
        <w:tc>
          <w:tcPr>
            <w:tcW w:type="dxa" w:w="6360"/>
            <w:tcBorders>
              <w:top w:val="single" w:color="A8B8C8" w:sz="1"/>
              <w:left w:val="single" w:color="A8B8C8" w:sz="1"/>
              <w:bottom w:val="single" w:color="A8B8C8" w:sz="1"/>
              <w:right w:val="single" w:color="A8B8C8" w:sz="1"/>
            </w:tcBorders>
            <w:shd w:fill="EAF0F6" w:val="clear"/>
            <w:tcMar>
              <w:top w:type="dxa" w:w="100"/>
              <w:left w:type="dxa" w:w="160"/>
              <w:bottom w:type="dxa" w:w="100"/>
              <w:right w:type="dxa" w:w="160"/>
            </w:tcMar>
          </w:tcPr>
          <w:p>
            <w:pPr>
              <w:spacing w:after="0" w:before="0"/>
            </w:pPr>
            <w:r>
              <w:rPr>
                <w:rFonts w:ascii="Arial" w:cs="Arial" w:eastAsia="Arial" w:hAnsi="Arial"/>
                <w:color w:val="2C3848"/>
                <w:sz w:val="20"/>
                <w:szCs w:val="20"/>
              </w:rPr>
              <w:t xml:space="preserve">Physical structure under construction, materials on-site and in transit, soft costs, and business income delay. Active from groundbreaking to completion. The only policy that protects the project itself.</w:t>
            </w:r>
          </w:p>
        </w:tc>
      </w:tr>
      <w:tr>
        <w:tc>
          <w:tcPr>
            <w:tcW w:type="dxa" w:w="3000"/>
            <w:tcBorders>
              <w:top w:val="none" w:color="FFFFFF" w:sz="0"/>
              <w:left w:val="none" w:color="FFFFFF" w:sz="0"/>
              <w:bottom w:val="none" w:color="FFFFFF" w:sz="0"/>
              <w:right w:val="none" w:color="FFFFFF" w:sz="0"/>
            </w:tcBorders>
            <w:shd w:fill="2E44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General Liability Policy</w:t>
            </w:r>
          </w:p>
        </w:tc>
        <w:tc>
          <w:tcPr>
            <w:tcW w:type="dxa" w:w="6360"/>
            <w:tcBorders>
              <w:top w:val="single" w:color="A8B8C8" w:sz="1"/>
              <w:left w:val="single" w:color="A8B8C8" w:sz="1"/>
              <w:bottom w:val="single" w:color="A8B8C8" w:sz="1"/>
              <w:right w:val="single" w:color="A8B8C8" w:sz="1"/>
            </w:tcBorders>
            <w:shd w:fill="FFFFFF" w:val="clear"/>
            <w:tcMar>
              <w:top w:type="dxa" w:w="100"/>
              <w:left w:type="dxa" w:w="160"/>
              <w:bottom w:type="dxa" w:w="100"/>
              <w:right w:type="dxa" w:w="160"/>
            </w:tcMar>
          </w:tcPr>
          <w:p>
            <w:pPr>
              <w:spacing w:after="0" w:before="0"/>
            </w:pPr>
            <w:r>
              <w:rPr>
                <w:rFonts w:ascii="Arial" w:cs="Arial" w:eastAsia="Arial" w:hAnsi="Arial"/>
                <w:color w:val="2C3848"/>
                <w:sz w:val="20"/>
                <w:szCs w:val="20"/>
              </w:rPr>
              <w:t xml:space="preserve">Third-party bodily injury and property damage arising from construction activity. Covers contractor and subcontractor liability to the public, neighbors, and project visitors. Required on every project.</w:t>
            </w:r>
          </w:p>
        </w:tc>
      </w:tr>
      <w:tr>
        <w:tc>
          <w:tcPr>
            <w:tcW w:type="dxa" w:w="3000"/>
            <w:tcBorders>
              <w:top w:val="none" w:color="FFFFFF" w:sz="0"/>
              <w:left w:val="none" w:color="FFFFFF" w:sz="0"/>
              <w:bottom w:val="none" w:color="FFFFFF" w:sz="0"/>
              <w:right w:val="none" w:color="FFFFFF" w:sz="0"/>
            </w:tcBorders>
            <w:shd w:fill="3A45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Workers’ Compensation</w:t>
            </w:r>
          </w:p>
        </w:tc>
        <w:tc>
          <w:tcPr>
            <w:tcW w:type="dxa" w:w="6360"/>
            <w:tcBorders>
              <w:top w:val="single" w:color="A8B8C8" w:sz="1"/>
              <w:left w:val="single" w:color="A8B8C8" w:sz="1"/>
              <w:bottom w:val="single" w:color="A8B8C8" w:sz="1"/>
              <w:right w:val="single" w:color="A8B8C8" w:sz="1"/>
            </w:tcBorders>
            <w:shd w:fill="EAF0F6" w:val="clear"/>
            <w:tcMar>
              <w:top w:type="dxa" w:w="100"/>
              <w:left w:type="dxa" w:w="160"/>
              <w:bottom w:type="dxa" w:w="100"/>
              <w:right w:type="dxa" w:w="160"/>
            </w:tcMar>
          </w:tcPr>
          <w:p>
            <w:pPr>
              <w:spacing w:after="0" w:before="0"/>
            </w:pPr>
            <w:r>
              <w:rPr>
                <w:rFonts w:ascii="Arial" w:cs="Arial" w:eastAsia="Arial" w:hAnsi="Arial"/>
                <w:color w:val="2C3848"/>
                <w:sz w:val="20"/>
                <w:szCs w:val="20"/>
              </w:rPr>
              <w:t xml:space="preserve">Medical expenses and lost wages for workers injured on the job site. Legally required in virtually all states for construction workers. Separate from both builders risk and GL.</w:t>
            </w:r>
          </w:p>
        </w:tc>
      </w:tr>
      <w:tr>
        <w:tc>
          <w:tcPr>
            <w:tcW w:type="dxa" w:w="3000"/>
            <w:tcBorders>
              <w:top w:val="none" w:color="FFFFFF" w:sz="0"/>
              <w:left w:val="none" w:color="FFFFFF" w:sz="0"/>
              <w:bottom w:val="none" w:color="FFFFFF" w:sz="0"/>
              <w:right w:val="none" w:color="FFFFFF" w:sz="0"/>
            </w:tcBorders>
            <w:shd w:fill="7A480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Design Professional (E&amp;O)</w:t>
            </w:r>
          </w:p>
        </w:tc>
        <w:tc>
          <w:tcPr>
            <w:tcW w:type="dxa" w:w="6360"/>
            <w:tcBorders>
              <w:top w:val="single" w:color="A8B8C8" w:sz="1"/>
              <w:left w:val="single" w:color="A8B8C8" w:sz="1"/>
              <w:bottom w:val="single" w:color="A8B8C8" w:sz="1"/>
              <w:right w:val="single" w:color="A8B8C8" w:sz="1"/>
            </w:tcBorders>
            <w:shd w:fill="FFFFFF" w:val="clear"/>
            <w:tcMar>
              <w:top w:type="dxa" w:w="100"/>
              <w:left w:type="dxa" w:w="160"/>
              <w:bottom w:type="dxa" w:w="100"/>
              <w:right w:type="dxa" w:w="160"/>
            </w:tcMar>
          </w:tcPr>
          <w:p>
            <w:pPr>
              <w:spacing w:after="0" w:before="0"/>
            </w:pPr>
            <w:r>
              <w:rPr>
                <w:rFonts w:ascii="Arial" w:cs="Arial" w:eastAsia="Arial" w:hAnsi="Arial"/>
                <w:color w:val="2C3848"/>
                <w:sz w:val="20"/>
                <w:szCs w:val="20"/>
              </w:rPr>
              <w:t xml:space="preserve">Architect and engineer errors and omissions coverage for professional liability arising from design defects, specification errors, or professional negligence. Required for complex commercial projects.</w:t>
            </w:r>
          </w:p>
        </w:tc>
      </w:tr>
      <w:tr>
        <w:tc>
          <w:tcPr>
            <w:tcW w:type="dxa" w:w="3000"/>
            <w:tcBorders>
              <w:top w:val="none" w:color="FFFFFF" w:sz="0"/>
              <w:left w:val="none" w:color="FFFFFF" w:sz="0"/>
              <w:bottom w:val="none" w:color="FFFFFF" w:sz="0"/>
              <w:right w:val="none" w:color="FFFFFF" w:sz="0"/>
            </w:tcBorders>
            <w:shd w:fill="4A608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Permanent Property Policy (Post-Completion)</w:t>
            </w:r>
          </w:p>
        </w:tc>
        <w:tc>
          <w:tcPr>
            <w:tcW w:type="dxa" w:w="6360"/>
            <w:tcBorders>
              <w:top w:val="single" w:color="A8B8C8" w:sz="1"/>
              <w:left w:val="single" w:color="A8B8C8" w:sz="1"/>
              <w:bottom w:val="single" w:color="A8B8C8" w:sz="1"/>
              <w:right w:val="single" w:color="A8B8C8" w:sz="1"/>
            </w:tcBorders>
            <w:shd w:fill="EAF0F6" w:val="clear"/>
            <w:tcMar>
              <w:top w:type="dxa" w:w="100"/>
              <w:left w:type="dxa" w:w="160"/>
              <w:bottom w:type="dxa" w:w="100"/>
              <w:right w:type="dxa" w:w="160"/>
            </w:tcMar>
          </w:tcPr>
          <w:p>
            <w:pPr>
              <w:spacing w:after="0" w:before="0"/>
            </w:pPr>
            <w:r>
              <w:rPr>
                <w:rFonts w:ascii="Arial" w:cs="Arial" w:eastAsia="Arial" w:hAnsi="Arial"/>
                <w:color w:val="2C3848"/>
                <w:sz w:val="20"/>
                <w:szCs w:val="20"/>
              </w:rPr>
              <w:t xml:space="preserve">Homeowners, commercial property, or landlord policy that takes effect when builders risk expires at project completion. Must be secured before the builders risk policy expires to ensure no coverage gap at occupancy.</w:t>
            </w:r>
          </w:p>
        </w:tc>
      </w:tr>
    </w:tbl>
    <w:p>
      <w:pPr>
        <w:spacing w:after="0" w:before="12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The Critical Transition: Builders Risk to Permanent Insurance</w:t>
      </w:r>
    </w:p>
    <w:p>
      <w:pPr>
        <w:spacing w:after="110" w:before="80"/>
      </w:pPr>
      <w:r>
        <w:rPr>
          <w:rFonts w:ascii="Arial" w:cs="Arial" w:eastAsia="Arial" w:hAnsi="Arial"/>
          <w:color w:val="141C24"/>
          <w:sz w:val="22"/>
          <w:szCs w:val="22"/>
        </w:rPr>
        <w:t xml:space="preserve">The most important coordination point in a construction insurance program is the transition from builders risk to permanent property insurance at project completion. This transition must be planned in advance to ensure there is no gap between the two policies. The builders risk policy expires at project completion; if the permanent policy is not in force at that exact moment, the newly completed building is uninsured.</w:t>
      </w:r>
    </w:p>
    <w:p>
      <w:pPr>
        <w:spacing w:after="0" w:before="80"/>
      </w:pPr>
      <w:r>
        <w:rPr>
          <w:rFonts w:ascii="Arial" w:cs="Arial" w:eastAsia="Arial" w:hAnsi="Arial"/>
        </w:rPr>
        <w:t xml:space="preserve"/>
      </w:r>
    </w:p>
    <w:p>
      <w:pPr>
        <w:spacing w:after="110" w:before="80"/>
      </w:pPr>
      <w:r>
        <w:rPr>
          <w:rFonts w:ascii="Arial" w:cs="Arial" w:eastAsia="Arial" w:hAnsi="Arial"/>
          <w:color w:val="141C24"/>
          <w:sz w:val="22"/>
          <w:szCs w:val="22"/>
        </w:rPr>
        <w:t xml:space="preserve">For residential projects, the transition is typically from a builders risk policy to a homeowners policy. For commercial projects, it is from a builders risk policy to a commercial property policy. The permanent policy should be applied for and approved before the anticipated completion date so it can be bound immediately upon completion.</w:t>
      </w:r>
    </w:p>
    <w:p>
      <w:pPr>
        <w:spacing w:after="0" w:before="100"/>
      </w:pPr>
      <w:r>
        <w:rPr>
          <w:rFonts w:ascii="Arial" w:cs="Arial" w:eastAsia="Arial" w:hAnsi="Arial"/>
        </w:rPr>
        <w:t xml:space="preserve"/>
      </w:r>
    </w:p>
    <w:p>
      <w:pPr>
        <w:pBdr>
          <w:bottom w:val="single" w:color="B0C4D8" w:sz="4" w:space="4"/>
        </w:pBdr>
        <w:spacing w:after="80" w:before="220"/>
      </w:pPr>
      <w:r>
        <w:rPr>
          <w:rFonts w:ascii="Arial" w:cs="Arial" w:eastAsia="Arial" w:hAnsi="Arial"/>
          <w:b/>
          <w:bCs/>
          <w:color w:val="1C2A38"/>
          <w:sz w:val="24"/>
          <w:szCs w:val="24"/>
        </w:rPr>
        <w:t xml:space="preserve">Key Coordination Points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4460"/>
          <w:sz w:val="22"/>
          <w:szCs w:val="22"/>
        </w:rPr>
        <w:t xml:space="preserve">Builders risk and general liability — </w:t>
      </w:r>
      <w:r>
        <w:rPr>
          <w:rFonts w:ascii="Arial" w:cs="Arial" w:eastAsia="Arial" w:hAnsi="Arial"/>
          <w:color w:val="2C3848"/>
          <w:sz w:val="22"/>
          <w:szCs w:val="22"/>
        </w:rPr>
        <w:t xml:space="preserve">both are required on every project; GL covers third-party injuries while builders risk covers the project itself; neither substitutes for the other</w:t>
      </w:r>
    </w:p>
    <w:p>
      <w:pPr>
        <w:pStyle w:val="ListParagraph"/>
        <w:numPr>
          <w:ilvl w:val="0"/>
          <w:numId w:val="2"/>
        </w:numPr>
        <w:spacing w:after="60" w:before="60"/>
      </w:pPr>
      <w:r>
        <w:rPr>
          <w:rFonts w:ascii="Arial" w:cs="Arial" w:eastAsia="Arial" w:hAnsi="Arial"/>
          <w:b/>
          <w:bCs/>
          <w:color w:val="2E4460"/>
          <w:sz w:val="22"/>
          <w:szCs w:val="22"/>
        </w:rPr>
        <w:t xml:space="preserve">Builders risk and construction loan — </w:t>
      </w:r>
      <w:r>
        <w:rPr>
          <w:rFonts w:ascii="Arial" w:cs="Arial" w:eastAsia="Arial" w:hAnsi="Arial"/>
          <w:color w:val="2C3848"/>
          <w:sz w:val="22"/>
          <w:szCs w:val="22"/>
        </w:rPr>
        <w:t xml:space="preserve">lenders require builders risk as a condition of the construction loan with the lender named as a mortgagee; confirm coverage amounts meet lender requirements before the loan closes</w:t>
      </w:r>
    </w:p>
    <w:p>
      <w:pPr>
        <w:pStyle w:val="ListParagraph"/>
        <w:numPr>
          <w:ilvl w:val="0"/>
          <w:numId w:val="2"/>
        </w:numPr>
        <w:spacing w:after="60" w:before="60"/>
      </w:pPr>
      <w:r>
        <w:rPr>
          <w:rFonts w:ascii="Arial" w:cs="Arial" w:eastAsia="Arial" w:hAnsi="Arial"/>
          <w:b/>
          <w:bCs/>
          <w:color w:val="2E4460"/>
          <w:sz w:val="22"/>
          <w:szCs w:val="22"/>
        </w:rPr>
        <w:t xml:space="preserve">Builders risk and subcontractor insurance — </w:t>
      </w:r>
      <w:r>
        <w:rPr>
          <w:rFonts w:ascii="Arial" w:cs="Arial" w:eastAsia="Arial" w:hAnsi="Arial"/>
          <w:color w:val="2C3848"/>
          <w:sz w:val="22"/>
          <w:szCs w:val="22"/>
        </w:rPr>
        <w:t xml:space="preserve">subcontractors should carry their own GL and workers’ comp; the builders risk policy typically covers their work once incorporated into the project, but confirm with your insurer how subcontractor work is addressed</w:t>
      </w:r>
    </w:p>
    <w:p>
      <w:pPr>
        <w:pStyle w:val="ListParagraph"/>
        <w:numPr>
          <w:ilvl w:val="0"/>
          <w:numId w:val="2"/>
        </w:numPr>
        <w:spacing w:after="60" w:before="60"/>
      </w:pPr>
      <w:r>
        <w:rPr>
          <w:rFonts w:ascii="Arial" w:cs="Arial" w:eastAsia="Arial" w:hAnsi="Arial"/>
          <w:b/>
          <w:bCs/>
          <w:color w:val="2E4460"/>
          <w:sz w:val="22"/>
          <w:szCs w:val="22"/>
        </w:rPr>
        <w:t xml:space="preserve">Builders risk expiration and permanent policy — </w:t>
      </w:r>
      <w:r>
        <w:rPr>
          <w:rFonts w:ascii="Arial" w:cs="Arial" w:eastAsia="Arial" w:hAnsi="Arial"/>
          <w:color w:val="2C3848"/>
          <w:sz w:val="22"/>
          <w:szCs w:val="22"/>
        </w:rPr>
        <w:t xml:space="preserve">set a calendar reminder 60–90 days before builders risk expiration; apply for permanent property coverage early; bind the permanent policy to begin on the day the builders risk expires</w:t>
      </w:r>
    </w:p>
    <w:p>
      <w:pPr>
        <w:pStyle w:val="ListParagraph"/>
        <w:numPr>
          <w:ilvl w:val="0"/>
          <w:numId w:val="2"/>
        </w:numPr>
        <w:spacing w:after="60" w:before="60"/>
      </w:pPr>
      <w:r>
        <w:rPr>
          <w:rFonts w:ascii="Arial" w:cs="Arial" w:eastAsia="Arial" w:hAnsi="Arial"/>
          <w:b/>
          <w:bCs/>
          <w:color w:val="2E4460"/>
          <w:sz w:val="22"/>
          <w:szCs w:val="22"/>
        </w:rPr>
        <w:t xml:space="preserve">Soft costs and construction loan interest — </w:t>
      </w:r>
      <w:r>
        <w:rPr>
          <w:rFonts w:ascii="Arial" w:cs="Arial" w:eastAsia="Arial" w:hAnsi="Arial"/>
          <w:color w:val="2C3848"/>
          <w:sz w:val="22"/>
          <w:szCs w:val="22"/>
        </w:rPr>
        <w:t xml:space="preserve">ensure soft costs coverage includes construction loan interest during any delay period; this can be one of the largest financial exposures on a delayed project</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E6210" w:sz="18"/>
              <w:bottom w:val="none" w:color="FFFFFF" w:sz="0"/>
              <w:right w:val="none" w:color="FFFFFF" w:sz="0"/>
            </w:tcBorders>
            <w:shd w:fill="FBF5E8" w:val="clear"/>
            <w:tcMar>
              <w:top w:type="dxa" w:w="110"/>
              <w:left w:type="dxa" w:w="200"/>
              <w:bottom w:type="dxa" w:w="110"/>
              <w:right w:type="dxa" w:w="160"/>
            </w:tcMar>
          </w:tcPr>
          <w:p>
            <w:pPr>
              <w:spacing w:after="60" w:before="0"/>
            </w:pPr>
            <w:r>
              <w:rPr>
                <w:rFonts w:ascii="Arial" w:cs="Arial" w:eastAsia="Arial" w:hAnsi="Arial"/>
                <w:b/>
                <w:bCs/>
                <w:caps/>
                <w:color w:val="7A4800"/>
                <w:sz w:val="19"/>
                <w:szCs w:val="19"/>
              </w:rPr>
              <w:t xml:space="preserve">Completed Operations Liability</w:t>
            </w:r>
          </w:p>
          <w:p>
            <w:pPr>
              <w:spacing w:after="0" w:before="0"/>
            </w:pPr>
            <w:r>
              <w:rPr>
                <w:rFonts w:ascii="Arial" w:cs="Arial" w:eastAsia="Arial" w:hAnsi="Arial"/>
                <w:color w:val="4A2800"/>
                <w:sz w:val="20"/>
                <w:szCs w:val="20"/>
              </w:rPr>
              <w:t xml:space="preserve">After a construction project is complete, the general contractor and subcontractors face ongoing liability for property damage or injuries caused by defects in their completed work — this is covered under the “completed operations” portion of their GL policies. Builders risk coverage ends at project completion; completed operations liability coverage begins. This is a separate but related coverage that should be confirmed in all contractor GL policies.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460" w:sz="18"/>
              <w:bottom w:val="none" w:color="FFFFFF" w:sz="0"/>
              <w:right w:val="none" w:color="FFFFFF" w:sz="0"/>
            </w:tcBorders>
            <w:shd w:fill="EAF0F6" w:val="clear"/>
            <w:tcMar>
              <w:top w:type="dxa" w:w="110"/>
              <w:left w:type="dxa" w:w="200"/>
              <w:bottom w:type="dxa" w:w="110"/>
              <w:right w:type="dxa" w:w="160"/>
            </w:tcMar>
          </w:tcPr>
          <w:p>
            <w:pPr>
              <w:spacing w:after="0" w:before="0"/>
            </w:pPr>
            <w:r>
              <w:rPr>
                <w:rFonts w:ascii="Arial" w:cs="Arial" w:eastAsia="Arial" w:hAnsi="Arial"/>
                <w:b/>
                <w:bCs/>
                <w:color w:val="1C2A38"/>
                <w:sz w:val="20"/>
                <w:szCs w:val="20"/>
              </w:rPr>
              <w:t xml:space="preserve">Key Takeaway: </w:t>
            </w:r>
            <w:r>
              <w:rPr>
                <w:rFonts w:ascii="Arial" w:cs="Arial" w:eastAsia="Arial" w:hAnsi="Arial"/>
                <w:color w:val="2C3848"/>
                <w:sz w:val="20"/>
                <w:szCs w:val="20"/>
              </w:rPr>
              <w:t xml:space="preserve">Builders risk insurance is the centerpiece of the construction phase insurance program. It cannot be replaced by homeowners insurance, general liability, or any other standard policy. Secure it before construction begins, maintain it without lapse through project completion, and transition seamlessly to permanent property coverage upon occupancy. These three steps protect one of the largest financial investments most people ever make.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C2A38"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Build with Confidence. Build with Coverage.</w:t>
            </w:r>
          </w:p>
          <w:p>
            <w:pPr>
              <w:spacing w:after="100" w:before="0"/>
            </w:pPr>
            <w:r>
              <w:rPr>
                <w:rFonts w:ascii="Arial" w:cs="Arial" w:eastAsia="Arial" w:hAnsi="Arial"/>
                <w:color w:val="B0C4D8"/>
                <w:sz w:val="22"/>
                <w:szCs w:val="22"/>
              </w:rPr>
              <w:t xml:space="preserve">Every construction project represents months of planning, significant financial investment, and enormous risk. Builders risk insurance is the protection that ensures a fire, storm, theft, or accident on the job site does not undo everything you have invested. Daly &amp; Alexander Insurance helps property owners, developers, and contractors structure the right builders risk program for every project.</w:t>
            </w:r>
          </w:p>
          <w:p>
            <w:pPr>
              <w:spacing w:after="0" w:before="0"/>
            </w:pPr>
            <w:r>
              <w:rPr>
                <w:rFonts w:ascii="Arial" w:cs="Arial" w:eastAsia="Arial" w:hAnsi="Arial"/>
                <w:b/>
                <w:bCs/>
                <w:color w:val="FFFFFF"/>
                <w:sz w:val="22"/>
                <w:szCs w:val="22"/>
              </w:rPr>
              <w:t xml:space="preserve">Contact Daly &amp; Alexander Insurance today at www.dalyandalexander.com</w:t>
            </w:r>
          </w:p>
        </w:tc>
      </w:tr>
    </w:tbl>
    <w:p>
      <w:pPr>
        <w:spacing w:after="0" w:before="200"/>
      </w:pPr>
      <w:r>
        <w:rPr>
          <w:rFonts w:ascii="Arial" w:cs="Arial" w:eastAsia="Arial" w:hAnsi="Arial"/>
        </w:rPr>
        <w:t xml:space="preserve"/>
      </w:r>
    </w:p>
    <w:p>
      <w:pPr>
        <w:pBdr>
          <w:top w:val="single" w:color="CED4DC" w:sz="4" w:space="6"/>
        </w:pBdr>
        <w:spacing w:after="80" w:before="0"/>
      </w:pPr>
      <w:r>
        <w:rPr>
          <w:rFonts w:ascii="Arial" w:cs="Arial" w:eastAsia="Arial" w:hAnsi="Arial"/>
          <w:b/>
          <w:bCs/>
          <w:caps/>
          <w:color w:val="6A7480"/>
          <w:sz w:val="19"/>
          <w:szCs w:val="19"/>
        </w:rPr>
        <w:t xml:space="preserve">Disclaimer</w:t>
      </w:r>
    </w:p>
    <w:p>
      <w:pPr>
        <w:spacing w:after="120" w:before="0"/>
      </w:pPr>
      <w:r>
        <w:rPr>
          <w:rFonts w:ascii="Arial" w:cs="Arial" w:eastAsia="Arial" w:hAnsi="Arial"/>
          <w:color w:val="6A7480"/>
          <w:sz w:val="18"/>
          <w:szCs w:val="18"/>
        </w:rPr>
        <w:t xml:space="preserve">The information contained in this article is intended for general informational and educational purposes only and should not be construed as legal, financial, or insurance advice. Builders risk insurance requirements, coverage terms, exclusions, and underwriting guidelines vary significantly by project type, carrier, and jurisdiction and are subject to change. It is the sole responsibility of the reader to carefully review their individual insurance policy and applicable contract documents to determine the exact scope of coverage applicable to their specific project and circumstances. Daly Insurance, Inc. and Daly &amp; Alexander Insurance make no representations or warranties of any kind regarding the completeness, accuracy, or reliability of any content published online or offline, and expressly disclaim all liability for any errors, omissions, or inaccuracies. Coverage availability, terms, and pricing are subject to underwriting approval and vary by carrier, state, and individual circumstance.</w:t>
      </w:r>
    </w:p>
    <w:p>
      <w:pPr>
        <w:spacing w:after="0" w:before="80"/>
        <w:jc w:val="center"/>
      </w:pPr>
      <w:r>
        <w:rPr>
          <w:rFonts w:ascii="Arial" w:cs="Arial" w:eastAsia="Arial" w:hAnsi="Arial"/>
          <w:i/>
          <w:iCs/>
          <w:color w:val="6A7480"/>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8C880" w:sz="4" w:space="4"/>
      </w:pBdr>
      <w:spacing w:after="0" w:before="0"/>
    </w:pPr>
    <w:r>
      <w:rPr>
        <w:rFonts w:ascii="Arial" w:cs="Arial" w:eastAsia="Arial" w:hAnsi="Arial"/>
        <w:color w:val="6A7480"/>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E8C880" w:sz="4" w:space="6"/>
      </w:pBdr>
      <w:spacing w:after="0" w:before="0"/>
    </w:pPr>
    <w:r>
      <w:rPr>
        <w:rFonts w:ascii="Arial" w:cs="Arial" w:eastAsia="Arial" w:hAnsi="Arial"/>
        <w:b/>
        <w:bCs/>
        <w:color w:val="2E4460"/>
        <w:sz w:val="18"/>
        <w:szCs w:val="18"/>
      </w:rPr>
      <w:t xml:space="preserve">BUILDERS RISK INSURANCE GUIDE</w:t>
    </w:r>
    <w:r>
      <w:rPr>
        <w:rFonts w:ascii="Arial" w:cs="Arial" w:eastAsia="Arial" w:hAnsi="Arial"/>
        <w:color w:val="6A7480"/>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C2A38"/>
      <w:sz w:val="32"/>
      <w:szCs w:val="32"/>
    </w:rPr>
  </w:style>
  <w:style w:type="paragraph" w:styleId="Heading2">
    <w:name w:val="Heading 2"/>
    <w:basedOn w:val="Normal"/>
    <w:next w:val="Normal"/>
    <w:qFormat/>
    <w:pPr>
      <w:spacing w:after="80" w:before="240"/>
      <w:outlineLvl w:val="1"/>
    </w:pPr>
    <w:rPr>
      <w:rFonts w:ascii="Arial" w:cs="Arial" w:eastAsia="Arial" w:hAnsi="Arial"/>
      <w:b/>
      <w:bCs/>
      <w:color w:val="2E4460"/>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2026-05-06T05:01:32.198Z</dcterms:created>
  <dcterms:modified xsi:type="dcterms:W3CDTF">2026-05-06T05:01:32.213Z</dcterms:modified>
</cp:coreProperties>
</file>

<file path=docProps/custom.xml><?xml version="1.0" encoding="utf-8"?>
<Properties xmlns="http://schemas.openxmlformats.org/officeDocument/2006/custom-properties" xmlns:vt="http://schemas.openxmlformats.org/officeDocument/2006/docPropsVTypes"/>
</file>