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9E5210" w:sz="8" w:space="8"/>
        </w:pBdr>
        <w:spacing w:after="80" w:before="0"/>
        <w:jc w:val="center"/>
      </w:pPr>
      <w:r>
        <w:rPr>
          <w:rFonts w:ascii="Arial" w:cs="Arial" w:eastAsia="Arial" w:hAnsi="Arial"/>
          <w:b/>
          <w:bCs/>
          <w:color w:val="1E2D3D"/>
          <w:sz w:val="52"/>
          <w:szCs w:val="52"/>
        </w:rPr>
        <w:t xml:space="preserve">CONDO INSURANCE GUIDE</w:t>
      </w:r>
    </w:p>
    <w:p>
      <w:pPr>
        <w:spacing w:after="60" w:before="120"/>
        <w:jc w:val="center"/>
      </w:pPr>
      <w:r>
        <w:rPr>
          <w:rFonts w:ascii="Arial" w:cs="Arial" w:eastAsia="Arial" w:hAnsi="Arial"/>
          <w:i/>
          <w:iCs/>
          <w:color w:val="2E3C4A"/>
          <w:sz w:val="26"/>
          <w:szCs w:val="26"/>
        </w:rPr>
        <w:t xml:space="preserve">The HO-6 Policy, Master Coverage Gaps &amp; Unit Owner Essentials Explained</w:t>
      </w:r>
    </w:p>
    <w:p>
      <w:pPr>
        <w:spacing w:after="0" w:before="0"/>
        <w:jc w:val="center"/>
      </w:pPr>
      <w:r>
        <w:rPr>
          <w:rFonts w:ascii="Arial" w:cs="Arial" w:eastAsia="Arial" w:hAnsi="Arial"/>
          <w:color w:val="6A788A"/>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5210" w:sz="18"/>
              <w:bottom w:val="none" w:color="FFFFFF" w:sz="0"/>
              <w:right w:val="none" w:color="FFFFFF" w:sz="0"/>
            </w:tcBorders>
            <w:shd w:fill="FDF5EE" w:val="clear"/>
            <w:tcMar>
              <w:top w:type="dxa" w:w="140"/>
              <w:left w:type="dxa" w:w="240"/>
              <w:bottom w:type="dxa" w:w="140"/>
              <w:right w:type="dxa" w:w="240"/>
            </w:tcMar>
          </w:tcPr>
          <w:p>
            <w:pPr>
              <w:spacing w:after="100" w:before="0"/>
            </w:pPr>
            <w:r>
              <w:rPr>
                <w:rFonts w:ascii="Arial" w:cs="Arial" w:eastAsia="Arial" w:hAnsi="Arial"/>
                <w:color w:val="2E3C4A"/>
                <w:sz w:val="22"/>
                <w:szCs w:val="22"/>
              </w:rPr>
              <w:t xml:space="preserve">Owning a condominium comes with a unique insurance challenge that many unit owners do not fully understand until it is too late: your condo association carries a master insurance policy that covers the building and common areas — but it does not cover your unit, your belongings, or your personal liability. That gap is your responsibility to fill.</w:t>
            </w:r>
          </w:p>
          <w:p>
            <w:pPr>
              <w:spacing w:after="0" w:before="0"/>
            </w:pPr>
            <w:r>
              <w:rPr>
                <w:rFonts w:ascii="Arial" w:cs="Arial" w:eastAsia="Arial" w:hAnsi="Arial"/>
                <w:color w:val="2E3C4A"/>
                <w:sz w:val="22"/>
                <w:szCs w:val="22"/>
              </w:rPr>
              <w:t xml:space="preserve">This guide explains what condo insurance is, how it works, where the master policy ends and your coverage begins, and how to build a complete protection program for your unit and your financial interests.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1.  </w:t>
            </w:r>
            <w:r>
              <w:rPr>
                <w:rFonts w:ascii="Arial" w:cs="Arial" w:eastAsia="Arial" w:hAnsi="Arial"/>
                <w:b/>
                <w:bCs/>
                <w:color w:val="FFFFFF"/>
                <w:sz w:val="28"/>
                <w:szCs w:val="28"/>
              </w:rPr>
              <w:t xml:space="preserve">What Condo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Condo insurance — formally known as an HO-6 policy — is a specialized form of property and liability insurance designed specifically for condominium unit owners. It protects the interior of your unit, your personal belongings, and your personal liability, filling the critical gaps left by your condo association’s master insurance policy.</w:t>
      </w:r>
    </w:p>
    <w:p>
      <w:pPr>
        <w:spacing w:after="0" w:before="80"/>
      </w:pPr>
      <w:r>
        <w:rPr>
          <w:rFonts w:ascii="Arial" w:cs="Arial" w:eastAsia="Arial" w:hAnsi="Arial"/>
        </w:rPr>
        <w:t xml:space="preserve"/>
      </w:r>
    </w:p>
    <w:p>
      <w:pPr>
        <w:spacing w:after="110" w:before="80"/>
      </w:pPr>
      <w:r>
        <w:rPr>
          <w:rFonts w:ascii="Arial" w:cs="Arial" w:eastAsia="Arial" w:hAnsi="Arial"/>
          <w:color w:val="141E28"/>
          <w:sz w:val="22"/>
          <w:szCs w:val="22"/>
        </w:rPr>
        <w:t xml:space="preserve">Condo insurance exists because condominium ownership creates a dual insurance responsibility: the association is responsible for insuring the shared building and common elements, while each individual unit owner is responsible for insuring their own unit’s interior and contents. Without a dedicated HO-6 policy, unit owners have no coverage for the portions of their condo that the master policy does not address.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What It Protects</w:t>
            </w:r>
          </w:p>
          <w:p>
            <w:pPr>
              <w:spacing w:after="0" w:before="0"/>
            </w:pPr>
            <w:r>
              <w:rPr>
                <w:rFonts w:ascii="Arial" w:cs="Arial" w:eastAsia="Arial" w:hAnsi="Arial"/>
                <w:color w:val="2E3C4A"/>
                <w:sz w:val="20"/>
                <w:szCs w:val="20"/>
              </w:rPr>
              <w:t xml:space="preserve">The interior walls, floors, and ceilings of your unit (subject to master policy type); personal property and belongings; improvements and betterments you have made to the unit; personal liability; loss of use if the unit becomes uninhabitable; and loss assessment coverage for special charges levied by the association.</w:t>
            </w:r>
          </w:p>
        </w:tc>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Who Needs It</w:t>
            </w:r>
          </w:p>
          <w:p>
            <w:pPr>
              <w:spacing w:after="0" w:before="0"/>
            </w:pPr>
            <w:r>
              <w:rPr>
                <w:rFonts w:ascii="Arial" w:cs="Arial" w:eastAsia="Arial" w:hAnsi="Arial"/>
                <w:color w:val="2E3C4A"/>
                <w:sz w:val="20"/>
                <w:szCs w:val="20"/>
              </w:rPr>
              <w:t xml:space="preserve">Every condo unit owner. Whether the unit is a primary residence, a vacation property, or a rental investment, the gap between master policy coverage and unit-level needs makes an HO-6 policy essential for any financially responsible condo owner.</w:t>
            </w:r>
          </w:p>
        </w:tc>
      </w:tr>
      <w:tr>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What Makes It Unique</w:t>
            </w:r>
          </w:p>
          <w:p>
            <w:pPr>
              <w:spacing w:after="0" w:before="0"/>
            </w:pPr>
            <w:r>
              <w:rPr>
                <w:rFonts w:ascii="Arial" w:cs="Arial" w:eastAsia="Arial" w:hAnsi="Arial"/>
                <w:color w:val="2E3C4A"/>
                <w:sz w:val="20"/>
                <w:szCs w:val="20"/>
              </w:rPr>
              <w:t xml:space="preserve">Unlike a homeowners policy, condo insurance does not cover the building structure — that is the association’s responsibility. Unlike renters insurance, condo insurance covers building components within the unit. The HO-6 sits in the middle: more than renters coverage, less than full homeowners coverage.</w:t>
            </w:r>
          </w:p>
        </w:tc>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Who Offers It</w:t>
            </w:r>
          </w:p>
          <w:p>
            <w:pPr>
              <w:spacing w:after="0" w:before="0"/>
            </w:pPr>
            <w:r>
              <w:rPr>
                <w:rFonts w:ascii="Arial" w:cs="Arial" w:eastAsia="Arial" w:hAnsi="Arial"/>
                <w:color w:val="2E3C4A"/>
                <w:sz w:val="20"/>
                <w:szCs w:val="20"/>
              </w:rPr>
              <w:t xml:space="preserve">Condo insurance is available from all major personal lines carriers — the same companies that offer auto and homeowners insurance. It is also available through specialty carriers that focus on condominium communities. Pricing and coverage terms vary significantly across carriers and programs.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Condo insurance is not optional for financially responsible unit owners. The master policy your association carries explicitly excludes the interior of individual units and personal belongings. Without an HO-6 policy, a fire, flood, or theft that destroys your unit’s interior and contents leaves you with nothing but personal financial loss.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2.  </w:t>
            </w:r>
            <w:r>
              <w:rPr>
                <w:rFonts w:ascii="Arial" w:cs="Arial" w:eastAsia="Arial" w:hAnsi="Arial"/>
                <w:b/>
                <w:bCs/>
                <w:color w:val="FFFFFF"/>
                <w:sz w:val="28"/>
                <w:szCs w:val="28"/>
              </w:rPr>
              <w:t xml:space="preserve">How Condo Insurance Differs from Homeowners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While condo insurance (HO-6) and homeowners insurance (HO-3) share the same fundamental structure — property coverage, liability coverage, and loss of use — they address fundamentally different ownership situations. The core difference is who owns the building: a homeowner owns their entire dwelling and must insure the whole structure, while a condo owner shares building ownership with the association and only needs to insure their unit’s interior.</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1E2D3D"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Insurance (HO-3)</w:t>
            </w:r>
          </w:p>
        </w:tc>
        <w:tc>
          <w:tcPr>
            <w:tcW w:type="dxa" w:w="333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Condo Insurance (HO-6)</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Building coverage</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Full dwelling replacement cost</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Unit interior only; exterior by association</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Roof coverage</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Association’s responsibility</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Exterior walls</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Association’s responsibility</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Common areas</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applicable</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 by association master policy</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Personal property</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Broad personal property coverage</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Same broad personal property coverage</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Liability</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Personal liability at the premises</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Personal liability within and around the unit</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Loss of use / ALE</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Covers displacement from the home</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Covers displacement from the unit</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Loss assessment</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applicable</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Critical — covers association special assessments</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Improvements coverage</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Built into dwelling coverage</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Separate improvements &amp; betterments coverage</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Master policy interaction</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applicable</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Must coordinate with association master policy</w:t>
            </w:r>
          </w:p>
        </w:tc>
      </w:tr>
    </w:tbl>
    <w:p>
      <w:pPr>
        <w:spacing w:after="0" w:before="12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The Building Coverage Gap</w:t>
      </w:r>
    </w:p>
    <w:p>
      <w:pPr>
        <w:spacing w:after="110" w:before="80"/>
      </w:pPr>
      <w:r>
        <w:rPr>
          <w:rFonts w:ascii="Arial" w:cs="Arial" w:eastAsia="Arial" w:hAnsi="Arial"/>
          <w:color w:val="141E28"/>
          <w:sz w:val="22"/>
          <w:szCs w:val="22"/>
        </w:rPr>
        <w:t xml:space="preserve">The most important difference between HO-3 and HO-6 coverage is the treatment of building components. Under an HO-3, the homeowner insures the entire structure from foundation to roof. Under an HO-6, the condo association insures the building shell, and the unit owner insures the interior — but exactly where the association’s coverage ends and the unit owner’s coverage begins depends on the type of master policy (bare walls-in, single entity, or all-in).</w:t>
      </w:r>
    </w:p>
    <w:p>
      <w:pPr>
        <w:spacing w:after="0" w:before="80"/>
      </w:pPr>
      <w:r>
        <w:rPr>
          <w:rFonts w:ascii="Arial" w:cs="Arial" w:eastAsia="Arial" w:hAnsi="Arial"/>
        </w:rPr>
        <w:t xml:space="preserve"/>
      </w:r>
    </w:p>
    <w:p>
      <w:pPr>
        <w:spacing w:after="110" w:before="80"/>
      </w:pPr>
      <w:r>
        <w:rPr>
          <w:rFonts w:ascii="Arial" w:cs="Arial" w:eastAsia="Arial" w:hAnsi="Arial"/>
          <w:color w:val="141E28"/>
          <w:sz w:val="22"/>
          <w:szCs w:val="22"/>
        </w:rPr>
        <w:t xml:space="preserve">This means a condo owner must understand their association’s master policy before selecting HO-6 coverage limits. Choosing the wrong unit dwelling coverage amount — too little or too much — can result in either an uninsured gap or wasted premium.</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The fundamental rule: a homeowner insures everything. A condo owner insures what the association does not. Reading your association’s master policy — particularly its coverage type and deductible — is the essential first step in selecting the right HO-6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3.  </w:t>
            </w:r>
            <w:r>
              <w:rPr>
                <w:rFonts w:ascii="Arial" w:cs="Arial" w:eastAsia="Arial" w:hAnsi="Arial"/>
                <w:b/>
                <w:bCs/>
                <w:color w:val="FFFFFF"/>
                <w:sz w:val="28"/>
                <w:szCs w:val="28"/>
              </w:rPr>
              <w:t xml:space="preserve">How Condo Insurance Differs from Renters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Condo insurance and renters insurance are both designed for people who do not own the building they live in — but they address very different ownership situations. Renters have no ownership stake in the unit they occupy; condo owners own their unit and are responsible for its interior. This distinction creates meaningful differences in coverage scope and necessity.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1E2D3D"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Renters Insurance (HO-4)</w:t>
            </w:r>
          </w:p>
        </w:tc>
        <w:tc>
          <w:tcPr>
            <w:tcW w:type="dxa" w:w="333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Condo Insurance (HO-6)</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Ownership stake</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Tenant — no ownership of unit</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 — owns the unit interior</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Unit interior coverage</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needed (landlord’s responsibility)</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Essential — interior is owner’s responsibility</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Improvements coverage</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applicable</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Critical for owner-made upgrades</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Loss assessment coverage</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applicable</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Essential — assessments levied on unit owners</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Building walls / floors</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Landlord’s responsibility</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 (varies by master policy)</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Personal property</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Liability</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Loss of use / ALE</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Master policy interaction</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applicable</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Direct interaction required</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Required by lender?</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typically</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Required if mortgage on condo unit</w:t>
            </w:r>
          </w:p>
        </w:tc>
      </w:tr>
    </w:tbl>
    <w:p>
      <w:pPr>
        <w:spacing w:after="0" w:before="12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Why Renters Insurance Is Not Sufficient for Condo Owners</w:t>
      </w:r>
    </w:p>
    <w:p>
      <w:pPr>
        <w:spacing w:after="110" w:before="80"/>
      </w:pPr>
      <w:r>
        <w:rPr>
          <w:rFonts w:ascii="Arial" w:cs="Arial" w:eastAsia="Arial" w:hAnsi="Arial"/>
          <w:color w:val="141E28"/>
          <w:sz w:val="22"/>
          <w:szCs w:val="22"/>
        </w:rPr>
        <w:t xml:space="preserve">A renters policy (HO-4) is designed for tenants who have no financial stake in the building’s interior components. Condo owners, by contrast, are financially responsible for the interior of their unit — including walls, flooring, fixtures, and improvements. If a fire damages the interior of a condo unit, the unit owner (not the association) is responsible for restoring it.</w:t>
      </w:r>
    </w:p>
    <w:p>
      <w:pPr>
        <w:spacing w:after="0" w:before="80"/>
      </w:pPr>
      <w:r>
        <w:rPr>
          <w:rFonts w:ascii="Arial" w:cs="Arial" w:eastAsia="Arial" w:hAnsi="Arial"/>
        </w:rPr>
        <w:t xml:space="preserve"/>
      </w:r>
    </w:p>
    <w:p>
      <w:pPr>
        <w:spacing w:after="110" w:before="80"/>
      </w:pPr>
      <w:r>
        <w:rPr>
          <w:rFonts w:ascii="Arial" w:cs="Arial" w:eastAsia="Arial" w:hAnsi="Arial"/>
          <w:color w:val="141E28"/>
          <w:sz w:val="22"/>
          <w:szCs w:val="22"/>
        </w:rPr>
        <w:t xml:space="preserve">Additionally, condo owners face unique financial exposures that renters do not — particularly special assessments levied by the association when a covered loss exceeds the master policy limit or falls within the master policy deductible. Renters insurance does not include loss assessment coverage; condo insurance does.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Never Use a Renters Policy for a Condo You Own</w:t>
            </w:r>
          </w:p>
          <w:p>
            <w:pPr>
              <w:spacing w:after="0" w:before="0"/>
            </w:pPr>
            <w:r>
              <w:rPr>
                <w:rFonts w:ascii="Arial" w:cs="Arial" w:eastAsia="Arial" w:hAnsi="Arial"/>
                <w:color w:val="5A1010"/>
                <w:sz w:val="20"/>
                <w:szCs w:val="20"/>
              </w:rPr>
              <w:t xml:space="preserve">Using a renters policy instead of a condo policy to save a few dollars on premium is a dangerous false economy. The critical coverages — unit interior property, improvements and betterments, and loss assessment coverage — that make condo insurance uniquely valuable for unit owners are simply not present in a renters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4.  </w:t>
            </w:r>
            <w:r>
              <w:rPr>
                <w:rFonts w:ascii="Arial" w:cs="Arial" w:eastAsia="Arial" w:hAnsi="Arial"/>
                <w:b/>
                <w:bCs/>
                <w:color w:val="FFFFFF"/>
                <w:sz w:val="28"/>
                <w:szCs w:val="28"/>
              </w:rPr>
              <w:t xml:space="preserve">The HO-6 Policy Form Explained</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The HO-6 is the standardized insurance policy form developed by the Insurance Services Office (ISO) specifically for condominium unit owners. While individual insurers may modify the standard form, most condo insurance policies are based on or derived from the HO-6 structure. Understanding the HO-6’s coverage components helps condo owners evaluate and select the right policy.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c>
          <w:tcPr>
            <w:tcW w:type="dxa" w:w="2200"/>
            <w:tcBorders>
              <w:top w:val="none" w:color="FFFFFF" w:sz="0"/>
              <w:left w:val="none" w:color="FFFFFF" w:sz="0"/>
              <w:bottom w:val="none" w:color="FFFFFF" w:sz="0"/>
              <w:right w:val="none" w:color="FFFFFF" w:sz="0"/>
            </w:tcBorders>
            <w:shd w:fill="1E2D3D"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Coverage</w:t>
            </w:r>
          </w:p>
        </w:tc>
        <w:tc>
          <w:tcPr>
            <w:tcW w:type="dxa" w:w="3200"/>
            <w:tcBorders>
              <w:top w:val="none" w:color="FFFFFF" w:sz="0"/>
              <w:left w:val="none" w:color="FFFFFF" w:sz="0"/>
              <w:bottom w:val="none" w:color="FFFFFF" w:sz="0"/>
              <w:right w:val="none" w:color="FFFFFF" w:sz="0"/>
            </w:tcBorders>
            <w:shd w:fill="1E2D3D"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What It Covers</w:t>
            </w:r>
          </w:p>
        </w:tc>
        <w:tc>
          <w:tcPr>
            <w:tcW w:type="dxa" w:w="3960"/>
            <w:tcBorders>
              <w:top w:val="none" w:color="FFFFFF" w:sz="0"/>
              <w:left w:val="none" w:color="FFFFFF" w:sz="0"/>
              <w:bottom w:val="none" w:color="FFFFFF" w:sz="0"/>
              <w:right w:val="none" w:color="FFFFFF" w:sz="0"/>
            </w:tcBorders>
            <w:shd w:fill="1E2D3D"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Why It Matters for Condo Owners</w:t>
            </w:r>
          </w:p>
        </w:tc>
      </w:tr>
      <w:tr>
        <w:tc>
          <w:tcPr>
            <w:tcW w:type="dxa" w:w="2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Coverage A
Dwelling</w:t>
            </w:r>
          </w:p>
        </w:tc>
        <w:tc>
          <w:tcPr>
            <w:tcW w:type="dxa" w:w="3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Physical structure of the unit interior — walls, floors, ceilings, fixtures, and built-in appliances that are your responsibility under the master policy</w:t>
            </w:r>
          </w:p>
        </w:tc>
        <w:tc>
          <w:tcPr>
            <w:tcW w:type="dxa" w:w="396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The scope of Coverage A depends on the master policy type; bare walls-in master policies require more Coverage A; all-in policies require less</w:t>
            </w:r>
          </w:p>
        </w:tc>
      </w:tr>
      <w:tr>
        <w:tc>
          <w:tcPr>
            <w:tcW w:type="dxa" w:w="220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Coverage C
Personal Property</w:t>
            </w:r>
          </w:p>
        </w:tc>
        <w:tc>
          <w:tcPr>
            <w:tcW w:type="dxa" w:w="320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Furniture, clothing, electronics, appliances, and all personal belongings inside the unit and worldwide</w:t>
            </w:r>
          </w:p>
        </w:tc>
        <w:tc>
          <w:tcPr>
            <w:tcW w:type="dxa" w:w="396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Named perils or open perils depending on policy form; replacement cost endorsement available and strongly recommended</w:t>
            </w:r>
          </w:p>
        </w:tc>
      </w:tr>
      <w:tr>
        <w:tc>
          <w:tcPr>
            <w:tcW w:type="dxa" w:w="2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Coverage D
Loss of Use</w:t>
            </w:r>
          </w:p>
        </w:tc>
        <w:tc>
          <w:tcPr>
            <w:tcW w:type="dxa" w:w="3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Additional living expenses (hotel, meals, transportation) when the unit is uninhabitable due to a covered loss</w:t>
            </w:r>
          </w:p>
        </w:tc>
        <w:tc>
          <w:tcPr>
            <w:tcW w:type="dxa" w:w="396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Essential for condo owners who cannot return to their unit during repairs; typically 20–40% of Coverage C limit</w:t>
            </w:r>
          </w:p>
        </w:tc>
      </w:tr>
      <w:tr>
        <w:tc>
          <w:tcPr>
            <w:tcW w:type="dxa" w:w="220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Coverage E
Personal Liability</w:t>
            </w:r>
          </w:p>
        </w:tc>
        <w:tc>
          <w:tcPr>
            <w:tcW w:type="dxa" w:w="320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Legal defense and damages if you are sued for bodily injury or property damage occurring in or around your unit</w:t>
            </w:r>
          </w:p>
        </w:tc>
        <w:tc>
          <w:tcPr>
            <w:tcW w:type="dxa" w:w="396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Covers incidents within the unit and extends to common areas and nearby premises; umbrella policy recommended above base limits</w:t>
            </w:r>
          </w:p>
        </w:tc>
      </w:tr>
      <w:tr>
        <w:tc>
          <w:tcPr>
            <w:tcW w:type="dxa" w:w="2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Coverage F
Medical Payments</w:t>
            </w:r>
          </w:p>
        </w:tc>
        <w:tc>
          <w:tcPr>
            <w:tcW w:type="dxa" w:w="3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Medical expenses for guests injured in your unit, regardless of fault</w:t>
            </w:r>
          </w:p>
        </w:tc>
        <w:tc>
          <w:tcPr>
            <w:tcW w:type="dxa" w:w="396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Low-limit first-party coverage that prevents small injury claims from becoming liability lawsuits</w:t>
            </w:r>
          </w:p>
        </w:tc>
      </w:tr>
      <w:tr>
        <w:tc>
          <w:tcPr>
            <w:tcW w:type="dxa" w:w="220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Loss Assessment</w:t>
            </w:r>
          </w:p>
        </w:tc>
        <w:tc>
          <w:tcPr>
            <w:tcW w:type="dxa" w:w="320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Your share of special assessments levied by the association for covered losses that exceed master policy limits or fall within the master policy deductible</w:t>
            </w:r>
          </w:p>
        </w:tc>
        <w:tc>
          <w:tcPr>
            <w:tcW w:type="dxa" w:w="3960"/>
            <w:tcBorders>
              <w:top w:val="single" w:color="B0C0D0" w:sz="1"/>
              <w:left w:val="single" w:color="B0C0D0" w:sz="1"/>
              <w:bottom w:val="single" w:color="B0C0D0" w:sz="1"/>
              <w:right w:val="single" w:color="B0C0D0" w:sz="1"/>
            </w:tcBorders>
            <w:shd w:fill="EBF0F5"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One of the most critical and unique condo coverages; standard limit is $1,000 — should be increased to $25,000–$50,000</w:t>
            </w:r>
          </w:p>
        </w:tc>
      </w:tr>
      <w:tr>
        <w:tc>
          <w:tcPr>
            <w:tcW w:type="dxa" w:w="2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bCs/>
                <w:color w:val="1E2D3D"/>
                <w:sz w:val="19"/>
                <w:szCs w:val="19"/>
              </w:rPr>
              <w:t xml:space="preserve">Improvements &amp;
Betterments</w:t>
            </w:r>
          </w:p>
        </w:tc>
        <w:tc>
          <w:tcPr>
            <w:tcW w:type="dxa" w:w="320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Upgrades and improvements you have made to the unit — new flooring, renovated kitchen, upgraded bathrooms, custom built-ins</w:t>
            </w:r>
          </w:p>
        </w:tc>
        <w:tc>
          <w:tcPr>
            <w:tcW w:type="dxa" w:w="3960"/>
            <w:tcBorders>
              <w:top w:val="single" w:color="B0C0D0" w:sz="1"/>
              <w:left w:val="single" w:color="B0C0D0" w:sz="1"/>
              <w:bottom w:val="single" w:color="B0C0D0" w:sz="1"/>
              <w:right w:val="single" w:color="B0C0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C4A"/>
                <w:sz w:val="19"/>
                <w:szCs w:val="19"/>
              </w:rPr>
              <w:t xml:space="preserve">If you have renovated or upgraded your unit, standard Coverage A limits may be insufficient; improvements coverage ensures your investment is protected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5210" w:sz="18"/>
              <w:bottom w:val="none" w:color="FFFFFF" w:sz="0"/>
              <w:right w:val="none" w:color="FFFFFF" w:sz="0"/>
            </w:tcBorders>
            <w:shd w:fill="FDF5EE" w:val="clear"/>
            <w:tcMar>
              <w:top w:type="dxa" w:w="110"/>
              <w:left w:type="dxa" w:w="200"/>
              <w:bottom w:type="dxa" w:w="110"/>
              <w:right w:type="dxa" w:w="160"/>
            </w:tcMar>
          </w:tcPr>
          <w:p>
            <w:pPr>
              <w:spacing w:after="60" w:before="0"/>
            </w:pPr>
            <w:r>
              <w:rPr>
                <w:rFonts w:ascii="Arial" w:cs="Arial" w:eastAsia="Arial" w:hAnsi="Arial"/>
                <w:b/>
                <w:bCs/>
                <w:caps/>
                <w:color w:val="7A3E00"/>
                <w:sz w:val="19"/>
                <w:szCs w:val="19"/>
              </w:rPr>
              <w:t xml:space="preserve">Open Perils vs. Named Perils in HO-6</w:t>
            </w:r>
          </w:p>
          <w:p>
            <w:pPr>
              <w:spacing w:after="0" w:before="0"/>
            </w:pPr>
            <w:r>
              <w:rPr>
                <w:rFonts w:ascii="Arial" w:cs="Arial" w:eastAsia="Arial" w:hAnsi="Arial"/>
                <w:color w:val="4A2800"/>
                <w:sz w:val="20"/>
                <w:szCs w:val="20"/>
              </w:rPr>
              <w:t xml:space="preserve">Standard HO-6 policies cover personal property (Coverage C) on a named perils basis — meaning only losses caused by specifically listed events are covered. An open perils or “all-risk” endorsement for personal property provides broader protection and is worth the modest additional premium. Coverage A (dwelling) is often written on an open perils basis for newer policies.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The most underutilized and undervalued coverage in a standard HO-6 policy is loss assessment coverage. The standard limit of $1,000 is woefully inadequate — major association losses can generate assessments of $10,000, $25,000, or more per unit. Always increase loss assessment coverage to at least $25,000 when purchasing or renewing an HO-6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5.  </w:t>
            </w:r>
            <w:r>
              <w:rPr>
                <w:rFonts w:ascii="Arial" w:cs="Arial" w:eastAsia="Arial" w:hAnsi="Arial"/>
                <w:b/>
                <w:bCs/>
                <w:color w:val="FFFFFF"/>
                <w:sz w:val="28"/>
                <w:szCs w:val="28"/>
              </w:rPr>
              <w:t xml:space="preserve">Why Condo Owners Need Their Own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Many new condo buyers assume that paying association dues automatically provides adequate insurance protection because the association carries a master policy. This assumption — while understandable — is incorrect and potentially financially devastating. The association’s master policy is designed to protect the association and the shared building, not individual unit owners and their personal interests.</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Five Critical Reasons Every Condo Owner Needs an HO-6 Policy</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9E5210"/>
          <w:sz w:val="22"/>
          <w:szCs w:val="22"/>
        </w:rPr>
        <w:t xml:space="preserve">The master policy does not cover your personal belongings — </w:t>
      </w:r>
      <w:r>
        <w:rPr>
          <w:rFonts w:ascii="Arial" w:cs="Arial" w:eastAsia="Arial" w:hAnsi="Arial"/>
          <w:color w:val="2E3C4A"/>
          <w:sz w:val="22"/>
          <w:szCs w:val="22"/>
        </w:rPr>
        <w:t xml:space="preserve">your furniture, clothing, electronics, appliances, and all personal property are explicitly excluded from the association’s master policy. A fire that destroys everything in your unit leaves you with nothing without your own policy</w:t>
      </w:r>
    </w:p>
    <w:p>
      <w:pPr>
        <w:pStyle w:val="ListParagraph"/>
        <w:numPr>
          <w:ilvl w:val="0"/>
          <w:numId w:val="2"/>
        </w:numPr>
        <w:spacing w:after="60" w:before="60"/>
      </w:pPr>
      <w:r>
        <w:rPr>
          <w:rFonts w:ascii="Arial" w:cs="Arial" w:eastAsia="Arial" w:hAnsi="Arial"/>
          <w:b/>
          <w:bCs/>
          <w:color w:val="9E5210"/>
          <w:sz w:val="22"/>
          <w:szCs w:val="22"/>
        </w:rPr>
        <w:t xml:space="preserve">The master policy does not cover your unit’s interior finishes — </w:t>
      </w:r>
      <w:r>
        <w:rPr>
          <w:rFonts w:ascii="Arial" w:cs="Arial" w:eastAsia="Arial" w:hAnsi="Arial"/>
          <w:color w:val="2E3C4A"/>
          <w:sz w:val="22"/>
          <w:szCs w:val="22"/>
        </w:rPr>
        <w:t xml:space="preserve">depending on the master policy type, your hardwood floors, custom cabinetry, upgraded countertops, and renovated bathrooms may not be covered by the association. These are your financial responsibility</w:t>
      </w:r>
    </w:p>
    <w:p>
      <w:pPr>
        <w:pStyle w:val="ListParagraph"/>
        <w:numPr>
          <w:ilvl w:val="0"/>
          <w:numId w:val="2"/>
        </w:numPr>
        <w:spacing w:after="60" w:before="60"/>
      </w:pPr>
      <w:r>
        <w:rPr>
          <w:rFonts w:ascii="Arial" w:cs="Arial" w:eastAsia="Arial" w:hAnsi="Arial"/>
          <w:b/>
          <w:bCs/>
          <w:color w:val="9E5210"/>
          <w:sz w:val="22"/>
          <w:szCs w:val="22"/>
        </w:rPr>
        <w:t xml:space="preserve">The master policy does not cover your personal liability — </w:t>
      </w:r>
      <w:r>
        <w:rPr>
          <w:rFonts w:ascii="Arial" w:cs="Arial" w:eastAsia="Arial" w:hAnsi="Arial"/>
          <w:color w:val="2E3C4A"/>
          <w:sz w:val="22"/>
          <w:szCs w:val="22"/>
        </w:rPr>
        <w:t xml:space="preserve">if a guest is injured in your unit, or if water from your unit damages a neighbor’s property, you are personally liable. The association’s liability coverage does not extend to individual unit owner incidents</w:t>
      </w:r>
    </w:p>
    <w:p>
      <w:pPr>
        <w:pStyle w:val="ListParagraph"/>
        <w:numPr>
          <w:ilvl w:val="0"/>
          <w:numId w:val="2"/>
        </w:numPr>
        <w:spacing w:after="60" w:before="60"/>
      </w:pPr>
      <w:r>
        <w:rPr>
          <w:rFonts w:ascii="Arial" w:cs="Arial" w:eastAsia="Arial" w:hAnsi="Arial"/>
          <w:b/>
          <w:bCs/>
          <w:color w:val="9E5210"/>
          <w:sz w:val="22"/>
          <w:szCs w:val="22"/>
        </w:rPr>
        <w:t xml:space="preserve">You can be assessed for the master policy deductible — </w:t>
      </w:r>
      <w:r>
        <w:rPr>
          <w:rFonts w:ascii="Arial" w:cs="Arial" w:eastAsia="Arial" w:hAnsi="Arial"/>
          <w:color w:val="2E3C4A"/>
          <w:sz w:val="22"/>
          <w:szCs w:val="22"/>
        </w:rPr>
        <w:t xml:space="preserve">most master policies have deductibles of $5,000–$25,000 or more. When a covered loss occurs, the association may assess each unit owner a share of the deductible. Without loss assessment coverage, this comes out of your pocket</w:t>
      </w:r>
    </w:p>
    <w:p>
      <w:pPr>
        <w:pStyle w:val="ListParagraph"/>
        <w:numPr>
          <w:ilvl w:val="0"/>
          <w:numId w:val="2"/>
        </w:numPr>
        <w:spacing w:after="60" w:before="60"/>
      </w:pPr>
      <w:r>
        <w:rPr>
          <w:rFonts w:ascii="Arial" w:cs="Arial" w:eastAsia="Arial" w:hAnsi="Arial"/>
          <w:b/>
          <w:bCs/>
          <w:color w:val="9E5210"/>
          <w:sz w:val="22"/>
          <w:szCs w:val="22"/>
        </w:rPr>
        <w:t xml:space="preserve">Mortgage lenders require it — </w:t>
      </w:r>
      <w:r>
        <w:rPr>
          <w:rFonts w:ascii="Arial" w:cs="Arial" w:eastAsia="Arial" w:hAnsi="Arial"/>
          <w:color w:val="2E3C4A"/>
          <w:sz w:val="22"/>
          <w:szCs w:val="22"/>
        </w:rPr>
        <w:t xml:space="preserve">if you have a mortgage on your condo unit, your lender will require you to carry an HO-6 policy with coverage meeting the lender’s requirements as a condition of the loan</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The Water Damage Scenario — A Common and Costly Example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5060" w:sz="18"/>
              <w:bottom w:val="none" w:color="FFFFFF" w:sz="0"/>
              <w:right w:val="none" w:color="FFFFFF" w:sz="0"/>
            </w:tcBorders>
            <w:shd w:fill="E8F4F6" w:val="clear"/>
            <w:tcMar>
              <w:top w:type="dxa" w:w="110"/>
              <w:left w:type="dxa" w:w="200"/>
              <w:bottom w:type="dxa" w:w="110"/>
              <w:right w:type="dxa" w:w="160"/>
            </w:tcMar>
          </w:tcPr>
          <w:p>
            <w:pPr>
              <w:spacing w:after="60" w:before="0"/>
            </w:pPr>
            <w:r>
              <w:rPr>
                <w:rFonts w:ascii="Arial" w:cs="Arial" w:eastAsia="Arial" w:hAnsi="Arial"/>
                <w:b/>
                <w:bCs/>
                <w:caps/>
                <w:color w:val="0F5060"/>
                <w:sz w:val="19"/>
                <w:szCs w:val="19"/>
              </w:rPr>
              <w:t xml:space="preserve">Why Personal Liability Matters in a Condo</w:t>
            </w:r>
          </w:p>
          <w:p>
            <w:pPr>
              <w:spacing w:after="0" w:before="0"/>
            </w:pPr>
            <w:r>
              <w:rPr>
                <w:rFonts w:ascii="Arial" w:cs="Arial" w:eastAsia="Arial" w:hAnsi="Arial"/>
                <w:color w:val="0A2830"/>
                <w:sz w:val="20"/>
                <w:szCs w:val="20"/>
              </w:rPr>
              <w:t xml:space="preserve">A condo owner’s washing machine supply hose fails overnight, flooding their unit and the two units below. The damage to the two neighboring units totals $85,000. The master policy covers damage to the building structure, but the unit owner whose appliance failed is personally liable for the damage to neighboring unit contents and for the master policy deductible of $15,000. Without an HO-6 with adequate liability coverage, the unit owner faces $85,000+ in personal financial liability.</w:t>
            </w:r>
          </w:p>
        </w:tc>
      </w:tr>
    </w:tbl>
    <w:p>
      <w:pPr>
        <w:spacing w:after="0" w:before="120"/>
      </w:pPr>
      <w:r>
        <w:rPr>
          <w:rFonts w:ascii="Arial" w:cs="Arial" w:eastAsia="Arial" w:hAnsi="Arial"/>
        </w:rPr>
        <w:t xml:space="preserve"/>
      </w:r>
    </w:p>
    <w:p>
      <w:pPr>
        <w:spacing w:after="110" w:before="80"/>
      </w:pPr>
      <w:r>
        <w:rPr>
          <w:rFonts w:ascii="Arial" w:cs="Arial" w:eastAsia="Arial" w:hAnsi="Arial"/>
          <w:color w:val="141E28"/>
          <w:sz w:val="22"/>
          <w:szCs w:val="22"/>
        </w:rPr>
        <w:t xml:space="preserve">Water damage originating in one condo unit and spreading to other units is one of the most common and contentious condo loss scenarios. The unit owner where the damage originated is typically held liable for the damage caused to neighboring units — regardless of whether the cause was negligence. An HO-6 policy’s liability coverage is the financial protection that makes this scenario manageable rather than catastrophic.</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The association’s insurance is for the association. Your insurance is for you. These two policies are designed to work together, with the master policy covering shared elements and the HO-6 covering everything personal to the unit owner. Neither is complete without the other.</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6.  </w:t>
            </w:r>
            <w:r>
              <w:rPr>
                <w:rFonts w:ascii="Arial" w:cs="Arial" w:eastAsia="Arial" w:hAnsi="Arial"/>
                <w:b/>
                <w:bCs/>
                <w:color w:val="FFFFFF"/>
                <w:sz w:val="28"/>
                <w:szCs w:val="28"/>
              </w:rPr>
              <w:t xml:space="preserve">Difference Between Unit Owner and Association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The division of insurance responsibility between the condo association and the individual unit owner is one of the most important concepts in condo ownership. This division is not arbitrary — it follows from the legal structure of condo ownership and is defined in both the association’s governing documents and the applicable state condominium law.</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The Legal Framework</w:t>
      </w:r>
    </w:p>
    <w:p>
      <w:pPr>
        <w:spacing w:after="110" w:before="80"/>
      </w:pPr>
      <w:r>
        <w:rPr>
          <w:rFonts w:ascii="Arial" w:cs="Arial" w:eastAsia="Arial" w:hAnsi="Arial"/>
          <w:color w:val="141E28"/>
          <w:sz w:val="22"/>
          <w:szCs w:val="22"/>
        </w:rPr>
        <w:t xml:space="preserve">Condominium ownership creates a legal structure in which unit owners own the airspace and interior of their units while jointly owning the common elements — building structure, exterior, shared systems, and common areas — through the association. Insurance responsibility follows this ownership structure: the association insures what is collectively owned, and each unit owner insures what is individually owned.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1E2D3D"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Element</w:t>
            </w:r>
          </w:p>
        </w:tc>
        <w:tc>
          <w:tcPr>
            <w:tcW w:type="dxa" w:w="313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Association Master Policy</w:t>
            </w:r>
          </w:p>
        </w:tc>
        <w:tc>
          <w:tcPr>
            <w:tcW w:type="dxa" w:w="333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Unit Owner HO-6 Policy</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Building exterior &amp; roof</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Association’s responsibility</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covered (association covers)</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Foundation &amp; structure</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Association’s responsibility</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covered (association covers)</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Common area hallways</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Association’s responsibility</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covered (association covers)</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Shared mechanical systems</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Association’s responsibility</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covered (association covers)</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Unit interior walls/floors</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Depends on master policy type</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 (fill master gap)</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Unit fixtures &amp; appliances</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Depends on master policy type</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 if not in master</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Owner’s improvements</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Not covered</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 — improvements coverage</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Personal property</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Never covered by master policy</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Owner’s responsibility — Coverage C</w:t>
            </w:r>
          </w:p>
        </w:tc>
      </w:tr>
      <w:tr>
        <w:tc>
          <w:tcPr>
            <w:tcW w:type="dxa" w:w="290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Personal liability</w:t>
            </w:r>
          </w:p>
        </w:tc>
        <w:tc>
          <w:tcPr>
            <w:tcW w:type="dxa" w:w="31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Common area incidents only</w:t>
            </w:r>
          </w:p>
        </w:tc>
        <w:tc>
          <w:tcPr>
            <w:tcW w:type="dxa" w:w="3330"/>
            <w:tcBorders>
              <w:top w:val="single" w:color="B0C0D0" w:sz="1"/>
              <w:left w:val="single" w:color="B0C0D0" w:sz="1"/>
              <w:bottom w:val="single" w:color="B0C0D0" w:sz="1"/>
              <w:right w:val="single" w:color="B0C0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Within unit and around premises</w:t>
            </w:r>
          </w:p>
        </w:tc>
      </w:tr>
      <w:tr>
        <w:tc>
          <w:tcPr>
            <w:tcW w:type="dxa" w:w="290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bCs/>
                <w:color w:val="141E28"/>
                <w:sz w:val="20"/>
                <w:szCs w:val="20"/>
              </w:rPr>
              <w:t xml:space="preserve">Loss assessment costs</w:t>
            </w:r>
          </w:p>
        </w:tc>
        <w:tc>
          <w:tcPr>
            <w:tcW w:type="dxa" w:w="31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N/A (association levies assessment)</w:t>
            </w:r>
          </w:p>
        </w:tc>
        <w:tc>
          <w:tcPr>
            <w:tcW w:type="dxa" w:w="3330"/>
            <w:tcBorders>
              <w:top w:val="single" w:color="B0C0D0" w:sz="1"/>
              <w:left w:val="single" w:color="B0C0D0" w:sz="1"/>
              <w:bottom w:val="single" w:color="B0C0D0" w:sz="1"/>
              <w:right w:val="single" w:color="B0C0D0" w:sz="1"/>
            </w:tcBorders>
            <w:shd w:fill="EBF0F5" w:val="clear"/>
            <w:tcMar>
              <w:top w:type="dxa" w:w="80"/>
              <w:left w:type="dxa" w:w="160"/>
              <w:bottom w:type="dxa" w:w="80"/>
              <w:right w:type="dxa" w:w="160"/>
            </w:tcMar>
          </w:tcPr>
          <w:p>
            <w:pPr>
              <w:spacing w:after="0" w:before="0"/>
            </w:pPr>
            <w:r>
              <w:rPr>
                <w:rFonts w:ascii="Arial" w:cs="Arial" w:eastAsia="Arial" w:hAnsi="Arial"/>
                <w:b w:val="false"/>
                <w:bCs w:val="false"/>
                <w:color w:val="2E3C4A"/>
                <w:sz w:val="20"/>
                <w:szCs w:val="20"/>
              </w:rPr>
              <w:t xml:space="preserve">Covered under loss assessment coverage</w:t>
            </w:r>
          </w:p>
        </w:tc>
      </w:tr>
    </w:tbl>
    <w:p>
      <w:pPr>
        <w:spacing w:after="0" w:before="12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Where Responsibility Can Be Ambiguous</w:t>
      </w:r>
    </w:p>
    <w:p>
      <w:pPr>
        <w:spacing w:after="110" w:before="80"/>
      </w:pPr>
      <w:r>
        <w:rPr>
          <w:rFonts w:ascii="Arial" w:cs="Arial" w:eastAsia="Arial" w:hAnsi="Arial"/>
          <w:color w:val="141E28"/>
          <w:sz w:val="22"/>
          <w:szCs w:val="22"/>
        </w:rPr>
        <w:t xml:space="preserve">The most common source of confusion and coverage disputes in condominiums arises at the boundary between association and unit owner responsibility. Built-in appliances, HVAC systems serving only one unit, plumbing within unit walls, and electrical panels are areas where the division of responsibility may not be clear-cut. These boundaries are defined in the association’s Declaration of Covenants, Conditions, and Restrictions (CC&amp;Rs).</w:t>
      </w:r>
    </w:p>
    <w:p>
      <w:pPr>
        <w:spacing w:after="0" w:before="80"/>
      </w:pPr>
      <w:r>
        <w:rPr>
          <w:rFonts w:ascii="Arial" w:cs="Arial" w:eastAsia="Arial" w:hAnsi="Arial"/>
        </w:rPr>
        <w:t xml:space="preserve"/>
      </w:r>
    </w:p>
    <w:p>
      <w:pPr>
        <w:spacing w:after="110" w:before="80"/>
      </w:pPr>
      <w:r>
        <w:rPr>
          <w:rFonts w:ascii="Arial" w:cs="Arial" w:eastAsia="Arial" w:hAnsi="Arial"/>
          <w:color w:val="141E28"/>
          <w:sz w:val="22"/>
          <w:szCs w:val="22"/>
        </w:rPr>
        <w:t xml:space="preserve">Unit owners should obtain and read their association’s CC&amp;Rs and master policy before selecting HO-6 coverage to understand exactly where the association’s coverage ends and their personal responsibility begins. When in doubt, additional coverage on the HO-6 is the prudent approach.</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5210" w:sz="18"/>
              <w:bottom w:val="none" w:color="FFFFFF" w:sz="0"/>
              <w:right w:val="none" w:color="FFFFFF" w:sz="0"/>
            </w:tcBorders>
            <w:shd w:fill="FDF5EE" w:val="clear"/>
            <w:tcMar>
              <w:top w:type="dxa" w:w="110"/>
              <w:left w:type="dxa" w:w="200"/>
              <w:bottom w:type="dxa" w:w="110"/>
              <w:right w:type="dxa" w:w="160"/>
            </w:tcMar>
          </w:tcPr>
          <w:p>
            <w:pPr>
              <w:spacing w:after="60" w:before="0"/>
            </w:pPr>
            <w:r>
              <w:rPr>
                <w:rFonts w:ascii="Arial" w:cs="Arial" w:eastAsia="Arial" w:hAnsi="Arial"/>
                <w:b/>
                <w:bCs/>
                <w:caps/>
                <w:color w:val="7A3E00"/>
                <w:sz w:val="19"/>
                <w:szCs w:val="19"/>
              </w:rPr>
              <w:t xml:space="preserve">Request the Master Policy Annually</w:t>
            </w:r>
          </w:p>
          <w:p>
            <w:pPr>
              <w:spacing w:after="0" w:before="0"/>
            </w:pPr>
            <w:r>
              <w:rPr>
                <w:rFonts w:ascii="Arial" w:cs="Arial" w:eastAsia="Arial" w:hAnsi="Arial"/>
                <w:color w:val="4A2800"/>
                <w:sz w:val="20"/>
                <w:szCs w:val="20"/>
              </w:rPr>
              <w:t xml:space="preserve">Associations are typically required to provide unit owners with a summary of the master policy upon request. Request this summary each year and review it with your insurance agent. Master policy terms, coverage types, and deductible amounts change over time and can significantly affect the coverage you need on your HO-6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7.  </w:t>
            </w:r>
            <w:r>
              <w:rPr>
                <w:rFonts w:ascii="Arial" w:cs="Arial" w:eastAsia="Arial" w:hAnsi="Arial"/>
                <w:b/>
                <w:bCs/>
                <w:color w:val="FFFFFF"/>
                <w:sz w:val="28"/>
                <w:szCs w:val="28"/>
              </w:rPr>
              <w:t xml:space="preserve">What the Condo Association Master Policy Covers</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The condo association’s master insurance policy is the foundation of coverage for the entire condominium community. It is purchased and maintained by the association using funds from unit owner assessments (HOA dues). While the master policy does not cover individual unit owners’ personal interests, it provides essential protection for the shared assets and collective liability of the association.</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Standard Master Policy Coverages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9E5210"/>
          <w:sz w:val="22"/>
          <w:szCs w:val="22"/>
        </w:rPr>
        <w:t xml:space="preserve">Building exterior and structure — </w:t>
      </w:r>
      <w:r>
        <w:rPr>
          <w:rFonts w:ascii="Arial" w:cs="Arial" w:eastAsia="Arial" w:hAnsi="Arial"/>
          <w:color w:val="2E3C4A"/>
          <w:sz w:val="22"/>
          <w:szCs w:val="22"/>
        </w:rPr>
        <w:t xml:space="preserve">the physical shell of the condominium building — exterior walls, roof, foundation, and structural components — is typically covered under the association’s property insurance</w:t>
      </w:r>
    </w:p>
    <w:p>
      <w:pPr>
        <w:pStyle w:val="ListParagraph"/>
        <w:numPr>
          <w:ilvl w:val="0"/>
          <w:numId w:val="2"/>
        </w:numPr>
        <w:spacing w:after="60" w:before="60"/>
      </w:pPr>
      <w:r>
        <w:rPr>
          <w:rFonts w:ascii="Arial" w:cs="Arial" w:eastAsia="Arial" w:hAnsi="Arial"/>
          <w:b/>
          <w:bCs/>
          <w:color w:val="9E5210"/>
          <w:sz w:val="22"/>
          <w:szCs w:val="22"/>
        </w:rPr>
        <w:t xml:space="preserve">Common areas and shared spaces — </w:t>
      </w:r>
      <w:r>
        <w:rPr>
          <w:rFonts w:ascii="Arial" w:cs="Arial" w:eastAsia="Arial" w:hAnsi="Arial"/>
          <w:color w:val="2E3C4A"/>
          <w:sz w:val="22"/>
          <w:szCs w:val="22"/>
        </w:rPr>
        <w:t xml:space="preserve">lobbies, hallways, stairwells, elevators, fitness centers, pools, parking structures, and other shared amenities are covered under the master policy</w:t>
      </w:r>
    </w:p>
    <w:p>
      <w:pPr>
        <w:pStyle w:val="ListParagraph"/>
        <w:numPr>
          <w:ilvl w:val="0"/>
          <w:numId w:val="2"/>
        </w:numPr>
        <w:spacing w:after="60" w:before="60"/>
      </w:pPr>
      <w:r>
        <w:rPr>
          <w:rFonts w:ascii="Arial" w:cs="Arial" w:eastAsia="Arial" w:hAnsi="Arial"/>
          <w:b/>
          <w:bCs/>
          <w:color w:val="9E5210"/>
          <w:sz w:val="22"/>
          <w:szCs w:val="22"/>
        </w:rPr>
        <w:t xml:space="preserve">Shared mechanical and utility systems — </w:t>
      </w:r>
      <w:r>
        <w:rPr>
          <w:rFonts w:ascii="Arial" w:cs="Arial" w:eastAsia="Arial" w:hAnsi="Arial"/>
          <w:color w:val="2E3C4A"/>
          <w:sz w:val="22"/>
          <w:szCs w:val="22"/>
        </w:rPr>
        <w:t xml:space="preserve">central HVAC, shared plumbing systems, electrical infrastructure, fire suppression systems, and other building-wide systems are included in master policy coverage</w:t>
      </w:r>
    </w:p>
    <w:p>
      <w:pPr>
        <w:pStyle w:val="ListParagraph"/>
        <w:numPr>
          <w:ilvl w:val="0"/>
          <w:numId w:val="2"/>
        </w:numPr>
        <w:spacing w:after="60" w:before="60"/>
      </w:pPr>
      <w:r>
        <w:rPr>
          <w:rFonts w:ascii="Arial" w:cs="Arial" w:eastAsia="Arial" w:hAnsi="Arial"/>
          <w:b/>
          <w:bCs/>
          <w:color w:val="9E5210"/>
          <w:sz w:val="22"/>
          <w:szCs w:val="22"/>
        </w:rPr>
        <w:t xml:space="preserve">General liability for common areas — </w:t>
      </w:r>
      <w:r>
        <w:rPr>
          <w:rFonts w:ascii="Arial" w:cs="Arial" w:eastAsia="Arial" w:hAnsi="Arial"/>
          <w:color w:val="2E3C4A"/>
          <w:sz w:val="22"/>
          <w:szCs w:val="22"/>
        </w:rPr>
        <w:t xml:space="preserve">the association’s master policy includes commercial general liability coverage for injuries or property damage occurring in common areas for which the association could be held responsible</w:t>
      </w:r>
    </w:p>
    <w:p>
      <w:pPr>
        <w:pStyle w:val="ListParagraph"/>
        <w:numPr>
          <w:ilvl w:val="0"/>
          <w:numId w:val="2"/>
        </w:numPr>
        <w:spacing w:after="60" w:before="60"/>
      </w:pPr>
      <w:r>
        <w:rPr>
          <w:rFonts w:ascii="Arial" w:cs="Arial" w:eastAsia="Arial" w:hAnsi="Arial"/>
          <w:b/>
          <w:bCs/>
          <w:color w:val="9E5210"/>
          <w:sz w:val="22"/>
          <w:szCs w:val="22"/>
        </w:rPr>
        <w:t xml:space="preserve">Directors and officers liability — </w:t>
      </w:r>
      <w:r>
        <w:rPr>
          <w:rFonts w:ascii="Arial" w:cs="Arial" w:eastAsia="Arial" w:hAnsi="Arial"/>
          <w:color w:val="2E3C4A"/>
          <w:sz w:val="22"/>
          <w:szCs w:val="22"/>
        </w:rPr>
        <w:t xml:space="preserve">many master policies include D&amp;O coverage for the association’s board members, protecting them from personal liability for decisions made in their capacity as board members</w:t>
      </w:r>
    </w:p>
    <w:p>
      <w:pPr>
        <w:pStyle w:val="ListParagraph"/>
        <w:numPr>
          <w:ilvl w:val="0"/>
          <w:numId w:val="2"/>
        </w:numPr>
        <w:spacing w:after="60" w:before="60"/>
      </w:pPr>
      <w:r>
        <w:rPr>
          <w:rFonts w:ascii="Arial" w:cs="Arial" w:eastAsia="Arial" w:hAnsi="Arial"/>
          <w:b/>
          <w:bCs/>
          <w:color w:val="9E5210"/>
          <w:sz w:val="22"/>
          <w:szCs w:val="22"/>
        </w:rPr>
        <w:t xml:space="preserve">Flood and earthquake (if purchased) — </w:t>
      </w:r>
      <w:r>
        <w:rPr>
          <w:rFonts w:ascii="Arial" w:cs="Arial" w:eastAsia="Arial" w:hAnsi="Arial"/>
          <w:color w:val="2E3C4A"/>
          <w:sz w:val="22"/>
          <w:szCs w:val="22"/>
        </w:rPr>
        <w:t xml:space="preserve">associations in flood zones or seismic areas may purchase separate flood or earthquake coverage for the building; these are not automatically included in standard master policies</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How the Master Policy Deductible Affects Unit Owners</w:t>
      </w:r>
    </w:p>
    <w:p>
      <w:pPr>
        <w:spacing w:after="110" w:before="80"/>
      </w:pPr>
      <w:r>
        <w:rPr>
          <w:rFonts w:ascii="Arial" w:cs="Arial" w:eastAsia="Arial" w:hAnsi="Arial"/>
          <w:color w:val="141E28"/>
          <w:sz w:val="22"/>
          <w:szCs w:val="22"/>
        </w:rPr>
        <w:t xml:space="preserve">One of the most financially significant provisions of the master policy is its deductible. Modern master policies often carry deductibles of $5,000, $10,000, $25,000, or even higher in coastal markets. When a covered loss occurs, the association’s master policy pays only the amount above the deductible — and the association may assess unit owners to cover the deductible amount.</w:t>
      </w:r>
    </w:p>
    <w:p>
      <w:pPr>
        <w:spacing w:after="0" w:before="80"/>
      </w:pPr>
      <w:r>
        <w:rPr>
          <w:rFonts w:ascii="Arial" w:cs="Arial" w:eastAsia="Arial" w:hAnsi="Arial"/>
        </w:rPr>
        <w:t xml:space="preserve"/>
      </w:r>
    </w:p>
    <w:p>
      <w:pPr>
        <w:spacing w:after="110" w:before="80"/>
      </w:pPr>
      <w:r>
        <w:rPr>
          <w:rFonts w:ascii="Arial" w:cs="Arial" w:eastAsia="Arial" w:hAnsi="Arial"/>
          <w:color w:val="141E28"/>
          <w:sz w:val="22"/>
          <w:szCs w:val="22"/>
        </w:rPr>
        <w:t xml:space="preserve">This is the precise reason that loss assessment coverage is so critical in an HO-6 policy. If the master policy has a $25,000 deductible and the association assesses each unit $2,500 to cover it, your HO-6 loss assessment coverage pays your share — provided your loss assessment limit is adequate.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0F5060" w:sz="18"/>
              <w:bottom w:val="none" w:color="FFFFFF" w:sz="0"/>
              <w:right w:val="none" w:color="FFFFFF" w:sz="0"/>
            </w:tcBorders>
            <w:shd w:fill="E8F4F6" w:val="clear"/>
            <w:tcMar>
              <w:top w:type="dxa" w:w="110"/>
              <w:left w:type="dxa" w:w="200"/>
              <w:bottom w:type="dxa" w:w="110"/>
              <w:right w:type="dxa" w:w="160"/>
            </w:tcMar>
          </w:tcPr>
          <w:p>
            <w:pPr>
              <w:spacing w:after="60" w:before="0"/>
            </w:pPr>
            <w:r>
              <w:rPr>
                <w:rFonts w:ascii="Arial" w:cs="Arial" w:eastAsia="Arial" w:hAnsi="Arial"/>
                <w:b/>
                <w:bCs/>
                <w:caps/>
                <w:color w:val="0F5060"/>
                <w:sz w:val="19"/>
                <w:szCs w:val="19"/>
              </w:rPr>
              <w:t xml:space="preserve">Master Policy Deductible Assessment Example</w:t>
            </w:r>
          </w:p>
          <w:p>
            <w:pPr>
              <w:spacing w:after="0" w:before="0"/>
            </w:pPr>
            <w:r>
              <w:rPr>
                <w:rFonts w:ascii="Arial" w:cs="Arial" w:eastAsia="Arial" w:hAnsi="Arial"/>
                <w:color w:val="0A2830"/>
                <w:sz w:val="20"/>
                <w:szCs w:val="20"/>
              </w:rPr>
              <w:t xml:space="preserve">A fire in a common area causes $180,000 in damage to the building. The association’s master policy has a $25,000 deductible. The association levies a special assessment to cover the deductible, allocating $625 per unit across 40 units. Each unit owner’s HO-6 loss assessment coverage pays their $625 share — assuming loss assessment limits are adequate.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Understanding your association’s master policy deductible is one of the most important steps in selecting your HO-6 coverage. Increase your loss assessment coverage to at least the master policy deductible amount — ideally more — to protect against your potential share of any assessment arising from a major covered loss.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8.  </w:t>
            </w:r>
            <w:r>
              <w:rPr>
                <w:rFonts w:ascii="Arial" w:cs="Arial" w:eastAsia="Arial" w:hAnsi="Arial"/>
                <w:b/>
                <w:bCs/>
                <w:color w:val="FFFFFF"/>
                <w:sz w:val="28"/>
                <w:szCs w:val="28"/>
              </w:rPr>
              <w:t xml:space="preserve">What the Condo Association Master Policy Does NOT Cover</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Understanding what the master policy does NOT cover is arguably more important than knowing what it does cover, because the gaps define exactly what each unit owner needs to protect with their own HO-6 policy. These exclusions are consistent across virtually all master policies and are the reason every condo owner needs their own insurance.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5C2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MASTER POLICY COVERS</w:t>
            </w:r>
          </w:p>
        </w:tc>
        <w:tc>
          <w:tcPr>
            <w:tcW w:type="dxa" w:w="4620"/>
            <w:tcBorders>
              <w:top w:val="none" w:color="FFFFFF" w:sz="0"/>
              <w:left w:val="none" w:color="FFFFFF" w:sz="0"/>
              <w:bottom w:val="none" w:color="FFFFFF" w:sz="0"/>
              <w:right w:val="none" w:color="FFFFFF" w:sz="0"/>
            </w:tcBorders>
            <w:shd w:fill="8B1A1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MASTER POLICY DOES NOT COVER</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Building exterior and roof</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Personal property (furniture, clothing, electronics)</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Common area hallways and lobbies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Unit interior finishes (flooring, cabinets, fixtures)</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Shared mechanical systems</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Owner-made improvements and upgrades</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Building structural elements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Personal liability within the unit</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Common area liability</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Neighbor water damage liability</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Elevators and shared equipment</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Guest injury inside the unit</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Parking structures (common area)</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Additional living expenses during displacement</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Shared amenities (pool, gym)</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Unit owner’s share of master policy deductible</w:t>
            </w:r>
          </w:p>
        </w:tc>
      </w:tr>
    </w:tbl>
    <w:p>
      <w:pPr>
        <w:spacing w:after="0" w:before="12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The Personal Property Gap</w:t>
      </w:r>
    </w:p>
    <w:p>
      <w:pPr>
        <w:spacing w:after="110" w:before="80"/>
      </w:pPr>
      <w:r>
        <w:rPr>
          <w:rFonts w:ascii="Arial" w:cs="Arial" w:eastAsia="Arial" w:hAnsi="Arial"/>
          <w:color w:val="141E28"/>
          <w:sz w:val="22"/>
          <w:szCs w:val="22"/>
        </w:rPr>
        <w:t xml:space="preserve">The most universal exclusion across all master policy types is personal property. No matter how comprehensive the association’s master policy is, it never covers unit owners’ furniture, clothing, electronics, appliances, or personal belongings. A total loss of the unit’s contents from fire, theft, or water damage is entirely the unit owner’s financial responsibility without an HO-6 policy.</w:t>
      </w:r>
    </w:p>
    <w:p>
      <w:pPr>
        <w:spacing w:after="0" w:before="8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The Liability Gap</w:t>
      </w:r>
    </w:p>
    <w:p>
      <w:pPr>
        <w:spacing w:after="110" w:before="80"/>
      </w:pPr>
      <w:r>
        <w:rPr>
          <w:rFonts w:ascii="Arial" w:cs="Arial" w:eastAsia="Arial" w:hAnsi="Arial"/>
          <w:color w:val="141E28"/>
          <w:sz w:val="22"/>
          <w:szCs w:val="22"/>
        </w:rPr>
        <w:t xml:space="preserve">The master policy’s commercial general liability coverage protects the association from claims arising in common areas. It does not protect individual unit owners from liability claims arising within their units or from incidents where the unit owner’s negligence causes damage to a neighboring unit. Water damage originating in one unit and flowing to neighbors is the most common example: the unit owner where the leak originated is personally liable for the neighbor’s losses.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Improvements Gap Is Often the Largest</w:t>
            </w:r>
          </w:p>
          <w:p>
            <w:pPr>
              <w:spacing w:after="0" w:before="0"/>
            </w:pPr>
            <w:r>
              <w:rPr>
                <w:rFonts w:ascii="Arial" w:cs="Arial" w:eastAsia="Arial" w:hAnsi="Arial"/>
                <w:color w:val="5A1010"/>
                <w:sz w:val="20"/>
                <w:szCs w:val="20"/>
              </w:rPr>
              <w:t xml:space="preserve">For unit owners who have renovated their condos — adding new flooring, custom kitchens, upgraded baths, or other improvements — the improvements and betterments gap can be the largest single uninsured exposure. A beautifully renovated condo with $80,000 in upgrades that is not covered by either the master policy or an inadequate HO-6 can result in the owner rebuilding their unit with builder-grade materials at their own expense.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The master policy is insurance for the community; the HO-6 is insurance for you. Every item on the “does not cover” list is a potential financial catastrophe for an uninsured unit owner. These are not obscure edge cases — personal property loss, water damage liability, and improvements gaps are among the most common real-world condo insurance claims.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9.  </w:t>
            </w:r>
            <w:r>
              <w:rPr>
                <w:rFonts w:ascii="Arial" w:cs="Arial" w:eastAsia="Arial" w:hAnsi="Arial"/>
                <w:b/>
                <w:bCs/>
                <w:color w:val="FFFFFF"/>
                <w:sz w:val="28"/>
                <w:szCs w:val="28"/>
              </w:rPr>
              <w:t xml:space="preserve">Bare Walls-In vs. All-In Master Policy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The single most important thing a condo unit owner needs to understand about their association’s master policy is what type of coverage it provides for the unit interior. There are three distinct master policy types — bare walls-in, single entity, and all-in — and the type directly determines how much building coverage a unit owner needs on their HO-6 policy.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Bare Walls-In Coverage</w:t>
            </w:r>
          </w:p>
          <w:p>
            <w:pPr>
              <w:spacing w:after="0" w:before="0"/>
            </w:pPr>
            <w:r>
              <w:rPr>
                <w:rFonts w:ascii="Arial" w:cs="Arial" w:eastAsia="Arial" w:hAnsi="Arial"/>
                <w:color w:val="2E3C4A"/>
                <w:sz w:val="20"/>
                <w:szCs w:val="20"/>
              </w:rPr>
              <w:t xml:space="preserve">The most restrictive master policy type. The association’s insurance covers only the building shell — the exterior walls, roof, foundation, and common structural elements. Everything from the interior side of the drywall inward is the unit owner’s responsibility. This includes flooring, interior wall finishes, fixtures, appliances, and all improvements. Unit owners with a bare walls master policy need the most robust HO-6 dwelling coverage.</w:t>
            </w:r>
          </w:p>
        </w:tc>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Single Entity Coverage</w:t>
            </w:r>
          </w:p>
          <w:p>
            <w:pPr>
              <w:spacing w:after="0" w:before="0"/>
            </w:pPr>
            <w:r>
              <w:rPr>
                <w:rFonts w:ascii="Arial" w:cs="Arial" w:eastAsia="Arial" w:hAnsi="Arial"/>
                <w:color w:val="2E3C4A"/>
                <w:sz w:val="20"/>
                <w:szCs w:val="20"/>
              </w:rPr>
              <w:t xml:space="preserve">Sometimes called “original fixtures” coverage, this type covers the building shell plus the original fixtures, flooring, and finishes as they existed when the building was constructed. If a unit owner has upgraded or replaced any original components — new countertops, custom tile, upgraded appliances — those improvements are the owner’s responsibility. A moderately comprehensive HO-6 is needed.</w:t>
            </w:r>
          </w:p>
        </w:tc>
      </w:tr>
      <w:tr>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All-In Coverage</w:t>
            </w:r>
          </w:p>
          <w:p>
            <w:pPr>
              <w:spacing w:after="0" w:before="0"/>
            </w:pPr>
            <w:r>
              <w:rPr>
                <w:rFonts w:ascii="Arial" w:cs="Arial" w:eastAsia="Arial" w:hAnsi="Arial"/>
                <w:color w:val="2E3C4A"/>
                <w:sz w:val="20"/>
                <w:szCs w:val="20"/>
              </w:rPr>
              <w:t xml:space="preserve">The broadest master policy type. All-in coverage extends to everything within the unit — original fixtures, flooring, built-in appliances, and in some cases even improvements made by prior owners. The unit owner’s HO-6 dwelling coverage needs are minimal under an all-in policy, though improvements made by the current owner may still need to be separately scheduled. Personal property is still excluded.</w:t>
            </w:r>
          </w:p>
        </w:tc>
        <w:tc>
          <w:tcPr>
            <w:tcW w:type="dxa" w:w="4620"/>
            <w:tcBorders>
              <w:top w:val="single" w:color="B0C0D0" w:sz="1"/>
              <w:left w:val="single" w:color="B0C0D0" w:sz="1"/>
              <w:bottom w:val="single" w:color="B0C0D0" w:sz="1"/>
              <w:right w:val="single" w:color="B0C0D0" w:sz="1"/>
            </w:tcBorders>
            <w:shd w:fill="EBF0F5" w:val="clear"/>
            <w:tcMar>
              <w:top w:type="dxa" w:w="110"/>
              <w:left w:type="dxa" w:w="160"/>
              <w:bottom w:type="dxa" w:w="110"/>
              <w:right w:type="dxa" w:w="160"/>
            </w:tcMar>
          </w:tcPr>
          <w:p>
            <w:pPr>
              <w:spacing w:after="60" w:before="0"/>
            </w:pPr>
            <w:r>
              <w:rPr>
                <w:rFonts w:ascii="Arial" w:cs="Arial" w:eastAsia="Arial" w:hAnsi="Arial"/>
                <w:b/>
                <w:bCs/>
                <w:color w:val="2E4358"/>
                <w:sz w:val="19"/>
                <w:szCs w:val="19"/>
              </w:rPr>
              <w:t xml:space="preserve">Why It Matters</w:t>
            </w:r>
          </w:p>
          <w:p>
            <w:pPr>
              <w:spacing w:after="0" w:before="0"/>
            </w:pPr>
            <w:r>
              <w:rPr>
                <w:rFonts w:ascii="Arial" w:cs="Arial" w:eastAsia="Arial" w:hAnsi="Arial"/>
                <w:color w:val="2E3C4A"/>
                <w:sz w:val="20"/>
                <w:szCs w:val="20"/>
              </w:rPr>
              <w:t xml:space="preserve">A unit owner with a bare walls master policy needs $50,000–$150,000+ in HO-6 dwelling coverage to protect the unit interior. The same owner under an all-in master policy may need only $20,000–$40,000 in HO-6 improvements coverage for their own upgrades. Selecting the wrong HO-6 coverage level based on an incorrect understanding of the master policy type results in either underinsurance or wasted premium.</w:t>
            </w:r>
          </w:p>
        </w:tc>
      </w:tr>
    </w:tbl>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Visual Guide to Master Policy Types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color="FFFFFF" w:sz="0"/>
              <w:left w:val="none" w:color="FFFFFF" w:sz="0"/>
              <w:bottom w:val="none" w:color="FFFFFF" w:sz="0"/>
              <w:right w:val="none" w:color="FFFFFF" w:sz="0"/>
            </w:tcBorders>
            <w:shd w:fill="8B1A1A" w:val="clear"/>
            <w:tcMar>
              <w:top w:type="dxa" w:w="120"/>
              <w:left w:type="dxa" w:w="160"/>
              <w:bottom w:type="dxa" w:w="120"/>
              <w:right w:type="dxa" w:w="160"/>
            </w:tcMar>
          </w:tcPr>
          <w:p>
            <w:pPr>
              <w:spacing w:after="60" w:before="0"/>
              <w:jc w:val="center"/>
            </w:pPr>
            <w:r>
              <w:rPr>
                <w:rFonts w:ascii="Arial" w:cs="Arial" w:eastAsia="Arial" w:hAnsi="Arial"/>
                <w:b/>
                <w:bCs/>
                <w:color w:val="FFFFFF"/>
                <w:sz w:val="22"/>
                <w:szCs w:val="22"/>
              </w:rPr>
              <w:t xml:space="preserve">BARE WALLS-IN</w:t>
            </w:r>
          </w:p>
          <w:p>
            <w:pPr>
              <w:spacing w:after="40" w:before="0"/>
              <w:jc w:val="center"/>
            </w:pPr>
            <w:r>
              <w:rPr>
                <w:rFonts w:ascii="Arial" w:cs="Arial" w:eastAsia="Arial" w:hAnsi="Arial"/>
                <w:color w:val="FFD0D0"/>
                <w:sz w:val="18"/>
                <w:szCs w:val="18"/>
              </w:rPr>
              <w:t xml:space="preserve">Association covers: shell only</w:t>
            </w:r>
          </w:p>
          <w:p>
            <w:pPr>
              <w:spacing w:after="40" w:before="0"/>
              <w:jc w:val="center"/>
            </w:pPr>
            <w:r>
              <w:rPr>
                <w:rFonts w:ascii="Arial" w:cs="Arial" w:eastAsia="Arial" w:hAnsi="Arial"/>
                <w:color w:val="FFD0D0"/>
                <w:sz w:val="18"/>
                <w:szCs w:val="18"/>
              </w:rPr>
              <w:t xml:space="preserve">Owner covers: everything inside walls</w:t>
            </w:r>
          </w:p>
          <w:p>
            <w:pPr>
              <w:spacing w:after="0" w:before="0"/>
              <w:jc w:val="center"/>
            </w:pPr>
            <w:r>
              <w:rPr>
                <w:rFonts w:ascii="Arial" w:cs="Arial" w:eastAsia="Arial" w:hAnsi="Arial"/>
                <w:b/>
                <w:bCs/>
                <w:color w:val="FFFFFF"/>
                <w:sz w:val="18"/>
                <w:szCs w:val="18"/>
              </w:rPr>
              <w:t xml:space="preserve">HO-6 need: HIGH</w:t>
            </w:r>
          </w:p>
        </w:tc>
        <w:tc>
          <w:tcPr>
            <w:tcW w:type="dxa" w:w="3120"/>
            <w:tcBorders>
              <w:top w:val="none" w:color="FFFFFF" w:sz="0"/>
              <w:left w:val="none" w:color="FFFFFF" w:sz="0"/>
              <w:bottom w:val="none" w:color="FFFFFF" w:sz="0"/>
              <w:right w:val="none" w:color="FFFFFF" w:sz="0"/>
            </w:tcBorders>
            <w:shd w:fill="7A3E00" w:val="clear"/>
            <w:tcMar>
              <w:top w:type="dxa" w:w="120"/>
              <w:left w:type="dxa" w:w="160"/>
              <w:bottom w:type="dxa" w:w="120"/>
              <w:right w:type="dxa" w:w="160"/>
            </w:tcMar>
          </w:tcPr>
          <w:p>
            <w:pPr>
              <w:spacing w:after="60" w:before="0"/>
              <w:jc w:val="center"/>
            </w:pPr>
            <w:r>
              <w:rPr>
                <w:rFonts w:ascii="Arial" w:cs="Arial" w:eastAsia="Arial" w:hAnsi="Arial"/>
                <w:b/>
                <w:bCs/>
                <w:color w:val="FFFFFF"/>
                <w:sz w:val="22"/>
                <w:szCs w:val="22"/>
              </w:rPr>
              <w:t xml:space="preserve">SINGLE ENTITY</w:t>
            </w:r>
          </w:p>
          <w:p>
            <w:pPr>
              <w:spacing w:after="40" w:before="0"/>
              <w:jc w:val="center"/>
            </w:pPr>
            <w:r>
              <w:rPr>
                <w:rFonts w:ascii="Arial" w:cs="Arial" w:eastAsia="Arial" w:hAnsi="Arial"/>
                <w:color w:val="FFE4C8"/>
                <w:sz w:val="18"/>
                <w:szCs w:val="18"/>
              </w:rPr>
              <w:t xml:space="preserve">Association covers: shell + original fixtures</w:t>
            </w:r>
          </w:p>
          <w:p>
            <w:pPr>
              <w:spacing w:after="40" w:before="0"/>
              <w:jc w:val="center"/>
            </w:pPr>
            <w:r>
              <w:rPr>
                <w:rFonts w:ascii="Arial" w:cs="Arial" w:eastAsia="Arial" w:hAnsi="Arial"/>
                <w:color w:val="FFE4C8"/>
                <w:sz w:val="18"/>
                <w:szCs w:val="18"/>
              </w:rPr>
              <w:t xml:space="preserve">Owner covers: improvements + upgrades</w:t>
            </w:r>
          </w:p>
          <w:p>
            <w:pPr>
              <w:spacing w:after="0" w:before="0"/>
              <w:jc w:val="center"/>
            </w:pPr>
            <w:r>
              <w:rPr>
                <w:rFonts w:ascii="Arial" w:cs="Arial" w:eastAsia="Arial" w:hAnsi="Arial"/>
                <w:b/>
                <w:bCs/>
                <w:color w:val="FFFFFF"/>
                <w:sz w:val="18"/>
                <w:szCs w:val="18"/>
              </w:rPr>
              <w:t xml:space="preserve">HO-6 need: MODERATE</w:t>
            </w:r>
          </w:p>
        </w:tc>
        <w:tc>
          <w:tcPr>
            <w:tcW w:type="dxa" w:w="3120"/>
            <w:tcBorders>
              <w:top w:val="none" w:color="FFFFFF" w:sz="0"/>
              <w:left w:val="none" w:color="FFFFFF" w:sz="0"/>
              <w:bottom w:val="none" w:color="FFFFFF" w:sz="0"/>
              <w:right w:val="none" w:color="FFFFFF" w:sz="0"/>
            </w:tcBorders>
            <w:shd w:fill="1A5C2A" w:val="clear"/>
            <w:tcMar>
              <w:top w:type="dxa" w:w="120"/>
              <w:left w:type="dxa" w:w="160"/>
              <w:bottom w:type="dxa" w:w="120"/>
              <w:right w:type="dxa" w:w="160"/>
            </w:tcMar>
          </w:tcPr>
          <w:p>
            <w:pPr>
              <w:spacing w:after="60" w:before="0"/>
              <w:jc w:val="center"/>
            </w:pPr>
            <w:r>
              <w:rPr>
                <w:rFonts w:ascii="Arial" w:cs="Arial" w:eastAsia="Arial" w:hAnsi="Arial"/>
                <w:b/>
                <w:bCs/>
                <w:color w:val="FFFFFF"/>
                <w:sz w:val="22"/>
                <w:szCs w:val="22"/>
              </w:rPr>
              <w:t xml:space="preserve">ALL-IN</w:t>
            </w:r>
          </w:p>
          <w:p>
            <w:pPr>
              <w:spacing w:after="40" w:before="0"/>
              <w:jc w:val="center"/>
            </w:pPr>
            <w:r>
              <w:rPr>
                <w:rFonts w:ascii="Arial" w:cs="Arial" w:eastAsia="Arial" w:hAnsi="Arial"/>
                <w:color w:val="C8F0D8"/>
                <w:sz w:val="18"/>
                <w:szCs w:val="18"/>
              </w:rPr>
              <w:t xml:space="preserve">Association covers: shell + all unit contents</w:t>
            </w:r>
          </w:p>
          <w:p>
            <w:pPr>
              <w:spacing w:after="40" w:before="0"/>
              <w:jc w:val="center"/>
            </w:pPr>
            <w:r>
              <w:rPr>
                <w:rFonts w:ascii="Arial" w:cs="Arial" w:eastAsia="Arial" w:hAnsi="Arial"/>
                <w:color w:val="C8F0D8"/>
                <w:sz w:val="18"/>
                <w:szCs w:val="18"/>
              </w:rPr>
              <w:t xml:space="preserve">Owner covers: personal property + improvements</w:t>
            </w:r>
          </w:p>
          <w:p>
            <w:pPr>
              <w:spacing w:after="0" w:before="0"/>
              <w:jc w:val="center"/>
            </w:pPr>
            <w:r>
              <w:rPr>
                <w:rFonts w:ascii="Arial" w:cs="Arial" w:eastAsia="Arial" w:hAnsi="Arial"/>
                <w:b/>
                <w:bCs/>
                <w:color w:val="FFFFFF"/>
                <w:sz w:val="18"/>
                <w:szCs w:val="18"/>
              </w:rPr>
              <w:t xml:space="preserve">HO-6 need: LOWER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5210" w:sz="18"/>
              <w:bottom w:val="none" w:color="FFFFFF" w:sz="0"/>
              <w:right w:val="none" w:color="FFFFFF" w:sz="0"/>
            </w:tcBorders>
            <w:shd w:fill="FDF5EE" w:val="clear"/>
            <w:tcMar>
              <w:top w:type="dxa" w:w="110"/>
              <w:left w:type="dxa" w:w="200"/>
              <w:bottom w:type="dxa" w:w="110"/>
              <w:right w:type="dxa" w:w="160"/>
            </w:tcMar>
          </w:tcPr>
          <w:p>
            <w:pPr>
              <w:spacing w:after="60" w:before="0"/>
            </w:pPr>
            <w:r>
              <w:rPr>
                <w:rFonts w:ascii="Arial" w:cs="Arial" w:eastAsia="Arial" w:hAnsi="Arial"/>
                <w:b/>
                <w:bCs/>
                <w:caps/>
                <w:color w:val="7A3E00"/>
                <w:sz w:val="19"/>
                <w:szCs w:val="19"/>
              </w:rPr>
              <w:t xml:space="preserve">All-In Does Not Mean No HO-6 Needed</w:t>
            </w:r>
          </w:p>
          <w:p>
            <w:pPr>
              <w:spacing w:after="0" w:before="0"/>
            </w:pPr>
            <w:r>
              <w:rPr>
                <w:rFonts w:ascii="Arial" w:cs="Arial" w:eastAsia="Arial" w:hAnsi="Arial"/>
                <w:color w:val="4A2800"/>
                <w:sz w:val="20"/>
                <w:szCs w:val="20"/>
              </w:rPr>
              <w:t xml:space="preserve">Even under an all-in master policy — the broadest type — unit owners still need an HO-6 policy for personal property, personal liability, loss of use, loss assessment coverage, and any improvements they have made above and beyond the original unit specifications. All-in coverage reduces the amount of dwelling coverage needed on the HO-6 but does not eliminate the need for the policy.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Before purchasing or renewing an HO-6 policy, ask your association for confirmation of the master policy type: bare walls-in, single entity, or all-in. This single piece of information is the most important factor in determining how much Coverage A (dwelling) you need on your HO-6 — and choosing the wrong level can leave you with tens of thousands of dollars in uninsured losses.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160"/>
              <w:left w:type="dxa" w:w="240"/>
              <w:bottom w:type="dxa" w:w="160"/>
              <w:right w:type="dxa" w:w="240"/>
            </w:tcMar>
          </w:tcPr>
          <w:p>
            <w:pPr>
              <w:spacing w:after="0" w:before="0"/>
            </w:pPr>
            <w:r>
              <w:rPr>
                <w:rFonts w:ascii="Arial" w:cs="Arial" w:eastAsia="Arial" w:hAnsi="Arial"/>
                <w:b/>
                <w:bCs/>
                <w:color w:val="E8C4A0"/>
                <w:sz w:val="28"/>
                <w:szCs w:val="28"/>
              </w:rPr>
              <w:t xml:space="preserve">10.  </w:t>
            </w:r>
            <w:r>
              <w:rPr>
                <w:rFonts w:ascii="Arial" w:cs="Arial" w:eastAsia="Arial" w:hAnsi="Arial"/>
                <w:b/>
                <w:bCs/>
                <w:color w:val="FFFFFF"/>
                <w:sz w:val="28"/>
                <w:szCs w:val="28"/>
              </w:rPr>
              <w:t xml:space="preserve">Role of Condo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41E28"/>
          <w:sz w:val="22"/>
          <w:szCs w:val="22"/>
        </w:rPr>
        <w:t xml:space="preserve">Condo insurance occupies a specific and essential position within a comprehensive personal insurance program. It works in coordination with the association’s master policy, your auto insurance, your personal umbrella, and any specialty coverages to create a complete financial protection framework. Understanding how these policies fit together ensures there are no dangerous gaps in your coverage.</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How Condo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1E2D3D"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B0C0D0" w:sz="1"/>
              <w:left w:val="single" w:color="B0C0D0" w:sz="1"/>
              <w:bottom w:val="single" w:color="B0C0D0" w:sz="1"/>
              <w:right w:val="single" w:color="B0C0D0" w:sz="1"/>
            </w:tcBorders>
            <w:shd w:fill="EBF0F5" w:val="clear"/>
            <w:tcMar>
              <w:top w:type="dxa" w:w="100"/>
              <w:left w:type="dxa" w:w="160"/>
              <w:bottom w:type="dxa" w:w="100"/>
              <w:right w:type="dxa" w:w="160"/>
            </w:tcMar>
          </w:tcPr>
          <w:p>
            <w:pPr>
              <w:spacing w:after="0" w:before="0"/>
            </w:pPr>
            <w:r>
              <w:rPr>
                <w:rFonts w:ascii="Arial" w:cs="Arial" w:eastAsia="Arial" w:hAnsi="Arial"/>
                <w:color w:val="2E3C4A"/>
                <w:sz w:val="20"/>
                <w:szCs w:val="20"/>
              </w:rPr>
              <w:t xml:space="preserve">Excess personal liability above HO-6 and auto limits. Extends the liability protection of the HO-6 to much higher dollar amounts. Should name the condo as an insured location.</w:t>
            </w:r>
          </w:p>
        </w:tc>
      </w:tr>
      <w:tr>
        <w:tc>
          <w:tcPr>
            <w:tcW w:type="dxa" w:w="3000"/>
            <w:tcBorders>
              <w:top w:val="none" w:color="FFFFFF" w:sz="0"/>
              <w:left w:val="none" w:color="FFFFFF" w:sz="0"/>
              <w:bottom w:val="none" w:color="FFFFFF" w:sz="0"/>
              <w:right w:val="none" w:color="FFFFFF" w:sz="0"/>
            </w:tcBorders>
            <w:shd w:fill="2E43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HO-6 Condo Policy</w:t>
            </w:r>
          </w:p>
        </w:tc>
        <w:tc>
          <w:tcPr>
            <w:tcW w:type="dxa" w:w="6360"/>
            <w:tcBorders>
              <w:top w:val="single" w:color="B0C0D0" w:sz="1"/>
              <w:left w:val="single" w:color="B0C0D0" w:sz="1"/>
              <w:bottom w:val="single" w:color="B0C0D0" w:sz="1"/>
              <w:right w:val="single" w:color="B0C0D0" w:sz="1"/>
            </w:tcBorders>
            <w:shd w:fill="FFFFFF" w:val="clear"/>
            <w:tcMar>
              <w:top w:type="dxa" w:w="100"/>
              <w:left w:type="dxa" w:w="160"/>
              <w:bottom w:type="dxa" w:w="100"/>
              <w:right w:type="dxa" w:w="160"/>
            </w:tcMar>
          </w:tcPr>
          <w:p>
            <w:pPr>
              <w:spacing w:after="0" w:before="0"/>
            </w:pPr>
            <w:r>
              <w:rPr>
                <w:rFonts w:ascii="Arial" w:cs="Arial" w:eastAsia="Arial" w:hAnsi="Arial"/>
                <w:color w:val="2E3C4A"/>
                <w:sz w:val="20"/>
                <w:szCs w:val="20"/>
              </w:rPr>
              <w:t xml:space="preserve">Unit interior, personal property, personal liability, loss of use, loss assessment, and improvements. Fills the gap between the master policy and the unit owner’s personal needs.</w:t>
            </w:r>
          </w:p>
        </w:tc>
      </w:tr>
      <w:tr>
        <w:tc>
          <w:tcPr>
            <w:tcW w:type="dxa" w:w="3000"/>
            <w:tcBorders>
              <w:top w:val="none" w:color="FFFFFF" w:sz="0"/>
              <w:left w:val="none" w:color="FFFFFF" w:sz="0"/>
              <w:bottom w:val="none" w:color="FFFFFF" w:sz="0"/>
              <w:right w:val="none" w:color="FFFFFF" w:sz="0"/>
            </w:tcBorders>
            <w:shd w:fill="7A3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Association Master Policy</w:t>
            </w:r>
          </w:p>
        </w:tc>
        <w:tc>
          <w:tcPr>
            <w:tcW w:type="dxa" w:w="6360"/>
            <w:tcBorders>
              <w:top w:val="single" w:color="B0C0D0" w:sz="1"/>
              <w:left w:val="single" w:color="B0C0D0" w:sz="1"/>
              <w:bottom w:val="single" w:color="B0C0D0" w:sz="1"/>
              <w:right w:val="single" w:color="B0C0D0" w:sz="1"/>
            </w:tcBorders>
            <w:shd w:fill="EBF0F5" w:val="clear"/>
            <w:tcMar>
              <w:top w:type="dxa" w:w="100"/>
              <w:left w:type="dxa" w:w="160"/>
              <w:bottom w:type="dxa" w:w="100"/>
              <w:right w:type="dxa" w:w="160"/>
            </w:tcMar>
          </w:tcPr>
          <w:p>
            <w:pPr>
              <w:spacing w:after="0" w:before="0"/>
            </w:pPr>
            <w:r>
              <w:rPr>
                <w:rFonts w:ascii="Arial" w:cs="Arial" w:eastAsia="Arial" w:hAnsi="Arial"/>
                <w:color w:val="2E3C4A"/>
                <w:sz w:val="20"/>
                <w:szCs w:val="20"/>
              </w:rPr>
              <w:t xml:space="preserve">Building structure, exterior, common areas, and shared systems. Paid for through association dues. Does not cover unit interiors, personal property, or personal liability.</w:t>
            </w:r>
          </w:p>
        </w:tc>
      </w:tr>
      <w:tr>
        <w:tc>
          <w:tcPr>
            <w:tcW w:type="dxa" w:w="3000"/>
            <w:tcBorders>
              <w:top w:val="none" w:color="FFFFFF" w:sz="0"/>
              <w:left w:val="none" w:color="FFFFFF" w:sz="0"/>
              <w:bottom w:val="none" w:color="FFFFFF" w:sz="0"/>
              <w:right w:val="none" w:color="FFFFFF" w:sz="0"/>
            </w:tcBorders>
            <w:shd w:fill="0F50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Insurance</w:t>
            </w:r>
          </w:p>
        </w:tc>
        <w:tc>
          <w:tcPr>
            <w:tcW w:type="dxa" w:w="6360"/>
            <w:tcBorders>
              <w:top w:val="single" w:color="B0C0D0" w:sz="1"/>
              <w:left w:val="single" w:color="B0C0D0" w:sz="1"/>
              <w:bottom w:val="single" w:color="B0C0D0" w:sz="1"/>
              <w:right w:val="single" w:color="B0C0D0" w:sz="1"/>
            </w:tcBorders>
            <w:shd w:fill="FFFFFF" w:val="clear"/>
            <w:tcMar>
              <w:top w:type="dxa" w:w="100"/>
              <w:left w:type="dxa" w:w="160"/>
              <w:bottom w:type="dxa" w:w="100"/>
              <w:right w:type="dxa" w:w="160"/>
            </w:tcMar>
          </w:tcPr>
          <w:p>
            <w:pPr>
              <w:spacing w:after="0" w:before="0"/>
            </w:pPr>
            <w:r>
              <w:rPr>
                <w:rFonts w:ascii="Arial" w:cs="Arial" w:eastAsia="Arial" w:hAnsi="Arial"/>
                <w:color w:val="2E3C4A"/>
                <w:sz w:val="20"/>
                <w:szCs w:val="20"/>
              </w:rPr>
              <w:t xml:space="preserve">Separate policy covering vehicles. No overlap with condo insurance; operates independently. Personal umbrella extends above both.</w:t>
            </w:r>
          </w:p>
        </w:tc>
      </w:tr>
      <w:tr>
        <w:tc>
          <w:tcPr>
            <w:tcW w:type="dxa" w:w="3000"/>
            <w:tcBorders>
              <w:top w:val="none" w:color="FFFFFF" w:sz="0"/>
              <w:left w:val="none" w:color="FFFFFF" w:sz="0"/>
              <w:bottom w:val="none" w:color="FFFFFF" w:sz="0"/>
              <w:right w:val="none" w:color="FFFFFF" w:sz="0"/>
            </w:tcBorders>
            <w:shd w:fill="3A586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Articles / Floater</w:t>
            </w:r>
          </w:p>
        </w:tc>
        <w:tc>
          <w:tcPr>
            <w:tcW w:type="dxa" w:w="6360"/>
            <w:tcBorders>
              <w:top w:val="single" w:color="B0C0D0" w:sz="1"/>
              <w:left w:val="single" w:color="B0C0D0" w:sz="1"/>
              <w:bottom w:val="single" w:color="B0C0D0" w:sz="1"/>
              <w:right w:val="single" w:color="B0C0D0" w:sz="1"/>
            </w:tcBorders>
            <w:shd w:fill="EBF0F5" w:val="clear"/>
            <w:tcMar>
              <w:top w:type="dxa" w:w="100"/>
              <w:left w:type="dxa" w:w="160"/>
              <w:bottom w:type="dxa" w:w="100"/>
              <w:right w:type="dxa" w:w="160"/>
            </w:tcMar>
          </w:tcPr>
          <w:p>
            <w:pPr>
              <w:spacing w:after="0" w:before="0"/>
            </w:pPr>
            <w:r>
              <w:rPr>
                <w:rFonts w:ascii="Arial" w:cs="Arial" w:eastAsia="Arial" w:hAnsi="Arial"/>
                <w:color w:val="2E3C4A"/>
                <w:sz w:val="20"/>
                <w:szCs w:val="20"/>
              </w:rPr>
              <w:t xml:space="preserve">Scheduled high-value items (jewelry, art, cameras, watches) at agreed value, worldwide. Supplements HO-6 personal property sublimits for items exceeding standard coverage levels.</w:t>
            </w:r>
          </w:p>
        </w:tc>
      </w:tr>
    </w:tbl>
    <w:p>
      <w:pPr>
        <w:spacing w:after="0" w:before="12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9E5210"/>
          <w:sz w:val="22"/>
          <w:szCs w:val="22"/>
        </w:rPr>
        <w:t xml:space="preserve">HO-6 and master policy — </w:t>
      </w:r>
      <w:r>
        <w:rPr>
          <w:rFonts w:ascii="Arial" w:cs="Arial" w:eastAsia="Arial" w:hAnsi="Arial"/>
          <w:color w:val="2E3C4A"/>
          <w:sz w:val="22"/>
          <w:szCs w:val="22"/>
        </w:rPr>
        <w:t xml:space="preserve">confirm master policy type (bare walls, single entity, all-in) annually and adjust HO-6 Coverage A accordingly; ensure HO-6 loss assessment limit exceeds master policy deductible</w:t>
      </w:r>
    </w:p>
    <w:p>
      <w:pPr>
        <w:pStyle w:val="ListParagraph"/>
        <w:numPr>
          <w:ilvl w:val="0"/>
          <w:numId w:val="2"/>
        </w:numPr>
        <w:spacing w:after="60" w:before="60"/>
      </w:pPr>
      <w:r>
        <w:rPr>
          <w:rFonts w:ascii="Arial" w:cs="Arial" w:eastAsia="Arial" w:hAnsi="Arial"/>
          <w:b/>
          <w:bCs/>
          <w:color w:val="9E5210"/>
          <w:sz w:val="22"/>
          <w:szCs w:val="22"/>
        </w:rPr>
        <w:t xml:space="preserve">HO-6 and personal umbrella — </w:t>
      </w:r>
      <w:r>
        <w:rPr>
          <w:rFonts w:ascii="Arial" w:cs="Arial" w:eastAsia="Arial" w:hAnsi="Arial"/>
          <w:color w:val="2E3C4A"/>
          <w:sz w:val="22"/>
          <w:szCs w:val="22"/>
        </w:rPr>
        <w:t xml:space="preserve">condo liability coverage of $300,000 is the standard minimum underlying limit required by most umbrella policies; confirm your HO-6 liability meets the umbrella’s required threshold</w:t>
      </w:r>
    </w:p>
    <w:p>
      <w:pPr>
        <w:pStyle w:val="ListParagraph"/>
        <w:numPr>
          <w:ilvl w:val="0"/>
          <w:numId w:val="2"/>
        </w:numPr>
        <w:spacing w:after="60" w:before="60"/>
      </w:pPr>
      <w:r>
        <w:rPr>
          <w:rFonts w:ascii="Arial" w:cs="Arial" w:eastAsia="Arial" w:hAnsi="Arial"/>
          <w:b/>
          <w:bCs/>
          <w:color w:val="9E5210"/>
          <w:sz w:val="22"/>
          <w:szCs w:val="22"/>
        </w:rPr>
        <w:t xml:space="preserve">HO-6 and personal articles floater — </w:t>
      </w:r>
      <w:r>
        <w:rPr>
          <w:rFonts w:ascii="Arial" w:cs="Arial" w:eastAsia="Arial" w:hAnsi="Arial"/>
          <w:color w:val="2E3C4A"/>
          <w:sz w:val="22"/>
          <w:szCs w:val="22"/>
        </w:rPr>
        <w:t xml:space="preserve">high-value jewelry, art, watches, cameras, and collectibles in the condo should be scheduled on a personal articles floater; HO-6 sublimits for these items (typically $1,500–$5,000) are often inadequate</w:t>
      </w:r>
    </w:p>
    <w:p>
      <w:pPr>
        <w:pStyle w:val="ListParagraph"/>
        <w:numPr>
          <w:ilvl w:val="0"/>
          <w:numId w:val="2"/>
        </w:numPr>
        <w:spacing w:after="60" w:before="60"/>
      </w:pPr>
      <w:r>
        <w:rPr>
          <w:rFonts w:ascii="Arial" w:cs="Arial" w:eastAsia="Arial" w:hAnsi="Arial"/>
          <w:b/>
          <w:bCs/>
          <w:color w:val="9E5210"/>
          <w:sz w:val="22"/>
          <w:szCs w:val="22"/>
        </w:rPr>
        <w:t xml:space="preserve">HO-6 and flood insurance — </w:t>
      </w:r>
      <w:r>
        <w:rPr>
          <w:rFonts w:ascii="Arial" w:cs="Arial" w:eastAsia="Arial" w:hAnsi="Arial"/>
          <w:color w:val="2E3C4A"/>
          <w:sz w:val="22"/>
          <w:szCs w:val="22"/>
        </w:rPr>
        <w:t xml:space="preserve">condo units in flood zones may need separate flood insurance for the unit interior; association flood coverage may only protect common areas and the building structure</w:t>
      </w:r>
    </w:p>
    <w:p>
      <w:pPr>
        <w:pStyle w:val="ListParagraph"/>
        <w:numPr>
          <w:ilvl w:val="0"/>
          <w:numId w:val="2"/>
        </w:numPr>
        <w:spacing w:after="60" w:before="60"/>
      </w:pPr>
      <w:r>
        <w:rPr>
          <w:rFonts w:ascii="Arial" w:cs="Arial" w:eastAsia="Arial" w:hAnsi="Arial"/>
          <w:b/>
          <w:bCs/>
          <w:color w:val="9E5210"/>
          <w:sz w:val="22"/>
          <w:szCs w:val="22"/>
        </w:rPr>
        <w:t xml:space="preserve">HO-6 and earthquake coverage — </w:t>
      </w:r>
      <w:r>
        <w:rPr>
          <w:rFonts w:ascii="Arial" w:cs="Arial" w:eastAsia="Arial" w:hAnsi="Arial"/>
          <w:color w:val="2E3C4A"/>
          <w:sz w:val="22"/>
          <w:szCs w:val="22"/>
        </w:rPr>
        <w:t xml:space="preserve">standard HO-6 policies exclude earthquake damage; unit owners in seismic zones should evaluate earthquake endorsements for their personal property and improvements</w:t>
      </w:r>
    </w:p>
    <w:p>
      <w:pPr>
        <w:spacing w:after="0" w:before="100"/>
      </w:pPr>
      <w:r>
        <w:rPr>
          <w:rFonts w:ascii="Arial" w:cs="Arial" w:eastAsia="Arial" w:hAnsi="Arial"/>
        </w:rPr>
        <w:t xml:space="preserve"/>
      </w:r>
    </w:p>
    <w:p>
      <w:pPr>
        <w:pBdr>
          <w:bottom w:val="single" w:color="B0C0D0" w:sz="4" w:space="4"/>
        </w:pBdr>
        <w:spacing w:after="80" w:before="220"/>
      </w:pPr>
      <w:r>
        <w:rPr>
          <w:rFonts w:ascii="Arial" w:cs="Arial" w:eastAsia="Arial" w:hAnsi="Arial"/>
          <w:b/>
          <w:bCs/>
          <w:color w:val="1E2D3D"/>
          <w:sz w:val="24"/>
          <w:szCs w:val="24"/>
        </w:rPr>
        <w:t xml:space="preserve">Annual Program Review Checklist for Condo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9E5210"/>
          <w:sz w:val="22"/>
          <w:szCs w:val="22"/>
        </w:rPr>
        <w:t xml:space="preserve">Obtain the current master policy summary — </w:t>
      </w:r>
      <w:r>
        <w:rPr>
          <w:rFonts w:ascii="Arial" w:cs="Arial" w:eastAsia="Arial" w:hAnsi="Arial"/>
          <w:color w:val="2E3C4A"/>
          <w:sz w:val="22"/>
          <w:szCs w:val="22"/>
        </w:rPr>
        <w:t xml:space="preserve">review type (bare walls/single entity/all-in), coverage limits, and deductible amount; adjust HO-6 Coverage A to match master policy type</w:t>
      </w:r>
    </w:p>
    <w:p>
      <w:pPr>
        <w:pStyle w:val="ListParagraph"/>
        <w:numPr>
          <w:ilvl w:val="0"/>
          <w:numId w:val="2"/>
        </w:numPr>
        <w:spacing w:after="60" w:before="60"/>
      </w:pPr>
      <w:r>
        <w:rPr>
          <w:rFonts w:ascii="Arial" w:cs="Arial" w:eastAsia="Arial" w:hAnsi="Arial"/>
          <w:b/>
          <w:bCs/>
          <w:color w:val="9E5210"/>
          <w:sz w:val="22"/>
          <w:szCs w:val="22"/>
        </w:rPr>
        <w:t xml:space="preserve">Update improvements and betterments — </w:t>
      </w:r>
      <w:r>
        <w:rPr>
          <w:rFonts w:ascii="Arial" w:cs="Arial" w:eastAsia="Arial" w:hAnsi="Arial"/>
          <w:color w:val="2E3C4A"/>
          <w:sz w:val="22"/>
          <w:szCs w:val="22"/>
        </w:rPr>
        <w:t xml:space="preserve">document any renovations or upgrades completed during the year and ensure Coverage A limits reflect current replacement cost of all improvements</w:t>
      </w:r>
    </w:p>
    <w:p>
      <w:pPr>
        <w:pStyle w:val="ListParagraph"/>
        <w:numPr>
          <w:ilvl w:val="0"/>
          <w:numId w:val="2"/>
        </w:numPr>
        <w:spacing w:after="60" w:before="60"/>
      </w:pPr>
      <w:r>
        <w:rPr>
          <w:rFonts w:ascii="Arial" w:cs="Arial" w:eastAsia="Arial" w:hAnsi="Arial"/>
          <w:b/>
          <w:bCs/>
          <w:color w:val="9E5210"/>
          <w:sz w:val="22"/>
          <w:szCs w:val="22"/>
        </w:rPr>
        <w:t xml:space="preserve">Review loss assessment limits — </w:t>
      </w:r>
      <w:r>
        <w:rPr>
          <w:rFonts w:ascii="Arial" w:cs="Arial" w:eastAsia="Arial" w:hAnsi="Arial"/>
          <w:color w:val="2E3C4A"/>
          <w:sz w:val="22"/>
          <w:szCs w:val="22"/>
        </w:rPr>
        <w:t xml:space="preserve">ensure loss assessment coverage is at least equal to the master policy deductible; $25,000–$50,000 is a reasonable minimum for most associations</w:t>
      </w:r>
    </w:p>
    <w:p>
      <w:pPr>
        <w:pStyle w:val="ListParagraph"/>
        <w:numPr>
          <w:ilvl w:val="0"/>
          <w:numId w:val="2"/>
        </w:numPr>
        <w:spacing w:after="60" w:before="60"/>
      </w:pPr>
      <w:r>
        <w:rPr>
          <w:rFonts w:ascii="Arial" w:cs="Arial" w:eastAsia="Arial" w:hAnsi="Arial"/>
          <w:b/>
          <w:bCs/>
          <w:color w:val="9E5210"/>
          <w:sz w:val="22"/>
          <w:szCs w:val="22"/>
        </w:rPr>
        <w:t xml:space="preserve">Review personal property limits — </w:t>
      </w:r>
      <w:r>
        <w:rPr>
          <w:rFonts w:ascii="Arial" w:cs="Arial" w:eastAsia="Arial" w:hAnsi="Arial"/>
          <w:color w:val="2E3C4A"/>
          <w:sz w:val="22"/>
          <w:szCs w:val="22"/>
        </w:rPr>
        <w:t xml:space="preserve">as you acquire new furniture, electronics, and belongings, confirm personal property (Coverage C) limits remain adequate</w:t>
      </w:r>
    </w:p>
    <w:p>
      <w:pPr>
        <w:pStyle w:val="ListParagraph"/>
        <w:numPr>
          <w:ilvl w:val="0"/>
          <w:numId w:val="2"/>
        </w:numPr>
        <w:spacing w:after="60" w:before="60"/>
      </w:pPr>
      <w:r>
        <w:rPr>
          <w:rFonts w:ascii="Arial" w:cs="Arial" w:eastAsia="Arial" w:hAnsi="Arial"/>
          <w:b/>
          <w:bCs/>
          <w:color w:val="9E5210"/>
          <w:sz w:val="22"/>
          <w:szCs w:val="22"/>
        </w:rPr>
        <w:t xml:space="preserve">Confirm scheduled items — </w:t>
      </w:r>
      <w:r>
        <w:rPr>
          <w:rFonts w:ascii="Arial" w:cs="Arial" w:eastAsia="Arial" w:hAnsi="Arial"/>
          <w:color w:val="2E3C4A"/>
          <w:sz w:val="22"/>
          <w:szCs w:val="22"/>
        </w:rPr>
        <w:t xml:space="preserve">verify that high-value items are properly scheduled on a personal articles floater with current appraisal values</w:t>
      </w:r>
    </w:p>
    <w:p>
      <w:pPr>
        <w:pStyle w:val="ListParagraph"/>
        <w:numPr>
          <w:ilvl w:val="0"/>
          <w:numId w:val="2"/>
        </w:numPr>
        <w:spacing w:after="60" w:before="60"/>
      </w:pPr>
      <w:r>
        <w:rPr>
          <w:rFonts w:ascii="Arial" w:cs="Arial" w:eastAsia="Arial" w:hAnsi="Arial"/>
          <w:b/>
          <w:bCs/>
          <w:color w:val="9E5210"/>
          <w:sz w:val="22"/>
          <w:szCs w:val="22"/>
        </w:rPr>
        <w:t xml:space="preserve">Check liability limits — </w:t>
      </w:r>
      <w:r>
        <w:rPr>
          <w:rFonts w:ascii="Arial" w:cs="Arial" w:eastAsia="Arial" w:hAnsi="Arial"/>
          <w:color w:val="2E3C4A"/>
          <w:sz w:val="22"/>
          <w:szCs w:val="22"/>
        </w:rPr>
        <w:t xml:space="preserve">confirm personal liability limits meet umbrella underlying requirements and reflect your current financial exposure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E5210" w:sz="18"/>
              <w:bottom w:val="none" w:color="FFFFFF" w:sz="0"/>
              <w:right w:val="none" w:color="FFFFFF" w:sz="0"/>
            </w:tcBorders>
            <w:shd w:fill="FDF5EE" w:val="clear"/>
            <w:tcMar>
              <w:top w:type="dxa" w:w="110"/>
              <w:left w:type="dxa" w:w="200"/>
              <w:bottom w:type="dxa" w:w="110"/>
              <w:right w:type="dxa" w:w="160"/>
            </w:tcMar>
          </w:tcPr>
          <w:p>
            <w:pPr>
              <w:spacing w:after="60" w:before="0"/>
            </w:pPr>
            <w:r>
              <w:rPr>
                <w:rFonts w:ascii="Arial" w:cs="Arial" w:eastAsia="Arial" w:hAnsi="Arial"/>
                <w:b/>
                <w:bCs/>
                <w:caps/>
                <w:color w:val="7A3E00"/>
                <w:sz w:val="19"/>
                <w:szCs w:val="19"/>
              </w:rPr>
              <w:t xml:space="preserve">Renting Out Your Condo Unit</w:t>
            </w:r>
          </w:p>
          <w:p>
            <w:pPr>
              <w:spacing w:after="0" w:before="0"/>
            </w:pPr>
            <w:r>
              <w:rPr>
                <w:rFonts w:ascii="Arial" w:cs="Arial" w:eastAsia="Arial" w:hAnsi="Arial"/>
                <w:color w:val="4A2800"/>
                <w:sz w:val="20"/>
                <w:szCs w:val="20"/>
              </w:rPr>
              <w:t xml:space="preserve">If you rent your condo unit as a long-term rental or short-term rental (Airbnb/VRBO), your standard HO-6 policy may not provide coverage during rental periods. Landlord policies (DP-6 or HO-6 with landlord endorsement) and short-term rental endorsements are available but must be specifically selected. Review your policy before listing your unit for rent.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4358" w:sz="18"/>
              <w:bottom w:val="none" w:color="FFFFFF" w:sz="0"/>
              <w:right w:val="none" w:color="FFFFFF" w:sz="0"/>
            </w:tcBorders>
            <w:shd w:fill="EBF0F5" w:val="clear"/>
            <w:tcMar>
              <w:top w:type="dxa" w:w="110"/>
              <w:left w:type="dxa" w:w="200"/>
              <w:bottom w:type="dxa" w:w="110"/>
              <w:right w:type="dxa" w:w="160"/>
            </w:tcMar>
          </w:tcPr>
          <w:p>
            <w:pPr>
              <w:spacing w:after="0" w:before="0"/>
            </w:pPr>
            <w:r>
              <w:rPr>
                <w:rFonts w:ascii="Arial" w:cs="Arial" w:eastAsia="Arial" w:hAnsi="Arial"/>
                <w:b/>
                <w:bCs/>
                <w:color w:val="1E2D3D"/>
                <w:sz w:val="20"/>
                <w:szCs w:val="20"/>
              </w:rPr>
              <w:t xml:space="preserve">Key Takeaway: </w:t>
            </w:r>
            <w:r>
              <w:rPr>
                <w:rFonts w:ascii="Arial" w:cs="Arial" w:eastAsia="Arial" w:hAnsi="Arial"/>
                <w:color w:val="2E3C4A"/>
                <w:sz w:val="20"/>
                <w:szCs w:val="20"/>
              </w:rPr>
              <w:t xml:space="preserve">Condo insurance is the personal insurance layer that sits between the association’s master policy and your personal financial interests. The master policy protects the community; the HO-6 protects you. Together, they create a complete coverage framework for condominium living — but only if both are in place, properly coordinated, and carrying adequate limits.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D3D"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Your Unit. Your Coverage. Your Peace of Mind.</w:t>
            </w:r>
          </w:p>
          <w:p>
            <w:pPr>
              <w:spacing w:after="100" w:before="0"/>
            </w:pPr>
            <w:r>
              <w:rPr>
                <w:rFonts w:ascii="Arial" w:cs="Arial" w:eastAsia="Arial" w:hAnsi="Arial"/>
                <w:color w:val="B0C0D0"/>
                <w:sz w:val="22"/>
                <w:szCs w:val="22"/>
              </w:rPr>
              <w:t xml:space="preserve">The association insures the building. You insure your home. A properly structured HO-6 policy — with the right Coverage A for your master policy type, adequate loss assessment limits, and comprehensive personal property coverage — ensures that your investment in your condo is fully protected.</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D8DCE4" w:sz="4" w:space="6"/>
        </w:pBdr>
        <w:spacing w:after="80" w:before="0"/>
      </w:pPr>
      <w:r>
        <w:rPr>
          <w:rFonts w:ascii="Arial" w:cs="Arial" w:eastAsia="Arial" w:hAnsi="Arial"/>
          <w:b/>
          <w:bCs/>
          <w:caps/>
          <w:color w:val="6A788A"/>
          <w:sz w:val="19"/>
          <w:szCs w:val="19"/>
        </w:rPr>
        <w:t xml:space="preserve">Disclaimer</w:t>
      </w:r>
    </w:p>
    <w:p>
      <w:pPr>
        <w:spacing w:after="120" w:before="0"/>
      </w:pPr>
      <w:r>
        <w:rPr>
          <w:rFonts w:ascii="Arial" w:cs="Arial" w:eastAsia="Arial" w:hAnsi="Arial"/>
          <w:color w:val="6A788A"/>
          <w:sz w:val="18"/>
          <w:szCs w:val="18"/>
        </w:rPr>
        <w:t xml:space="preserve">The information contained in this article is intended for general informational and educational purposes only and should not be construed as legal, financial, or insurance advice. Condo insurance requirements, association master policy terms, and individual coverage needs vary significantly by property, association, state, and carrier. It is the sole responsibility of the reader to carefully review their individual insurance policy and their association’s governing documents and master policy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88A"/>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8C4A0" w:sz="4" w:space="4"/>
      </w:pBdr>
      <w:spacing w:after="0" w:before="0"/>
    </w:pPr>
    <w:r>
      <w:rPr>
        <w:rFonts w:ascii="Arial" w:cs="Arial" w:eastAsia="Arial" w:hAnsi="Arial"/>
        <w:color w:val="6A788A"/>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8C4A0" w:sz="4" w:space="6"/>
      </w:pBdr>
      <w:spacing w:after="0" w:before="0"/>
    </w:pPr>
    <w:r>
      <w:rPr>
        <w:rFonts w:ascii="Arial" w:cs="Arial" w:eastAsia="Arial" w:hAnsi="Arial"/>
        <w:b/>
        <w:bCs/>
        <w:color w:val="2E4358"/>
        <w:sz w:val="18"/>
        <w:szCs w:val="18"/>
      </w:rPr>
      <w:t xml:space="preserve">CONDO INSURANCE GUIDE</w:t>
    </w:r>
    <w:r>
      <w:rPr>
        <w:rFonts w:ascii="Arial" w:cs="Arial" w:eastAsia="Arial" w:hAnsi="Arial"/>
        <w:color w:val="6A788A"/>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E2D3D"/>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4358"/>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2026-05-06T04:31:42.168Z</dcterms:created>
  <dcterms:modified xsi:type="dcterms:W3CDTF">2026-05-06T04:31:42.195Z</dcterms:modified>
</cp:coreProperties>
</file>

<file path=docProps/custom.xml><?xml version="1.0" encoding="utf-8"?>
<Properties xmlns="http://schemas.openxmlformats.org/officeDocument/2006/custom-properties" xmlns:vt="http://schemas.openxmlformats.org/officeDocument/2006/docPropsVTypes"/>
</file>