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2E6DB4" w:sz="8" w:space="8"/>
        </w:pBdr>
        <w:spacing w:after="80" w:before="0"/>
        <w:jc w:val="center"/>
      </w:pPr>
      <w:r>
        <w:rPr>
          <w:rFonts w:ascii="Arial" w:cs="Arial" w:eastAsia="Arial" w:hAnsi="Arial"/>
          <w:b/>
          <w:bCs/>
          <w:color w:val="0A2540"/>
          <w:sz w:val="52"/>
          <w:szCs w:val="52"/>
        </w:rPr>
        <w:t xml:space="preserve">EXCESS FLOOD INSURANCE GUIDE</w:t>
      </w:r>
    </w:p>
    <w:p>
      <w:pPr>
        <w:spacing w:after="60" w:before="120"/>
        <w:jc w:val="center"/>
      </w:pPr>
      <w:r>
        <w:rPr>
          <w:rFonts w:ascii="Arial" w:cs="Arial" w:eastAsia="Arial" w:hAnsi="Arial"/>
          <w:i/>
          <w:iCs/>
          <w:color w:val="3A4E62"/>
          <w:sz w:val="26"/>
          <w:szCs w:val="26"/>
        </w:rPr>
        <w:t xml:space="preserve">Understanding Excess Flood Coverage: Limits, Layers &amp; Gaps</w:t>
      </w:r>
    </w:p>
    <w:p>
      <w:pPr>
        <w:spacing w:after="0" w:before="0"/>
        <w:jc w:val="center"/>
      </w:pPr>
      <w:r>
        <w:rPr>
          <w:rFonts w:ascii="Arial" w:cs="Arial" w:eastAsia="Arial" w:hAnsi="Arial"/>
          <w:color w:val="6B7F96"/>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DB4" w:sz="18"/>
              <w:bottom w:val="none" w:color="FFFFFF" w:sz="0"/>
              <w:right w:val="none" w:color="FFFFFF" w:sz="0"/>
            </w:tcBorders>
            <w:shd w:fill="EBF2FB" w:val="clear"/>
            <w:tcMar>
              <w:top w:type="dxa" w:w="140"/>
              <w:left w:type="dxa" w:w="240"/>
              <w:bottom w:type="dxa" w:w="140"/>
              <w:right w:type="dxa" w:w="240"/>
            </w:tcMar>
          </w:tcPr>
          <w:p>
            <w:pPr>
              <w:spacing w:after="100" w:before="0"/>
            </w:pPr>
            <w:r>
              <w:rPr>
                <w:rFonts w:ascii="Arial" w:cs="Arial" w:eastAsia="Arial" w:hAnsi="Arial"/>
                <w:color w:val="3A4E62"/>
                <w:sz w:val="22"/>
                <w:szCs w:val="22"/>
              </w:rPr>
              <w:t xml:space="preserve">For most property owners, the National Flood Insurance Program (NFIP) is the starting point for flood protection. But for high-value homes, commercial properties, and any owner whose replacement cost exceeds NFIP’s limits, primary flood coverage alone leaves a significant gap — sometimes hundreds of thousands of dollars of uninsured exposure.</w:t>
            </w:r>
          </w:p>
          <w:p>
            <w:pPr>
              <w:spacing w:after="0" w:before="0"/>
            </w:pPr>
            <w:r>
              <w:rPr>
                <w:rFonts w:ascii="Arial" w:cs="Arial" w:eastAsia="Arial" w:hAnsi="Arial"/>
                <w:color w:val="3A4E62"/>
                <w:sz w:val="22"/>
                <w:szCs w:val="22"/>
              </w:rPr>
              <w:t xml:space="preserve">Excess flood insurance fills that gap. This guide explains what excess flood insurance is, how it works, who needs it, and how it fits into a comprehensive insurance program.</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1.  </w:t>
            </w:r>
            <w:r>
              <w:rPr>
                <w:rFonts w:ascii="Arial" w:cs="Arial" w:eastAsia="Arial" w:hAnsi="Arial"/>
                <w:b/>
                <w:bCs/>
                <w:color w:val="FFFFFF"/>
                <w:sz w:val="28"/>
                <w:szCs w:val="28"/>
              </w:rPr>
              <w:t xml:space="preserve">What Excess Flood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Excess flood insurance is a policy that provides additional flood coverage above and beyond the limits of an underlying primary flood insurance policy. It activates only after the primary policy’s limit has been fully exhausted by a covered flood loss. Excess flood insurance does not replace primary flood coverage — it supplements it.</w:t>
      </w:r>
    </w:p>
    <w:p>
      <w:pPr>
        <w:spacing w:after="0" w:before="80"/>
      </w:pPr>
      <w:r>
        <w:rPr>
          <w:rFonts w:ascii="Arial" w:cs="Arial" w:eastAsia="Arial" w:hAnsi="Arial"/>
        </w:rPr>
        <w:t xml:space="preserve"/>
      </w:r>
    </w:p>
    <w:p>
      <w:pPr>
        <w:spacing w:after="110" w:before="80"/>
      </w:pPr>
      <w:r>
        <w:rPr>
          <w:rFonts w:ascii="Arial" w:cs="Arial" w:eastAsia="Arial" w:hAnsi="Arial"/>
          <w:color w:val="1A2535"/>
          <w:sz w:val="22"/>
          <w:szCs w:val="22"/>
        </w:rPr>
        <w:t xml:space="preserve">The concept is straightforward: if a catastrophic flood causes damage that exceeds your primary flood policy’s maximum payout, excess flood insurance covers the remaining loss up to the excess policy’s limit. Without it, any loss above the primary limit becomes your personal or business financial responsibility.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How It Works</w:t>
            </w:r>
          </w:p>
          <w:p>
            <w:pPr>
              <w:spacing w:after="0" w:before="0"/>
            </w:pPr>
            <w:r>
              <w:rPr>
                <w:rFonts w:ascii="Arial" w:cs="Arial" w:eastAsia="Arial" w:hAnsi="Arial"/>
                <w:color w:val="3A4E62"/>
                <w:sz w:val="20"/>
                <w:szCs w:val="20"/>
              </w:rPr>
              <w:t xml:space="preserve">Excess flood coverage sits above the primary flood policy limit. When a covered flood loss exceeds the primary limit, the excess policy pays the difference — up to the excess policy’s own maximum.</w:t>
            </w:r>
          </w:p>
        </w:tc>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What It Is Not</w:t>
            </w:r>
          </w:p>
          <w:p>
            <w:pPr>
              <w:spacing w:after="0" w:before="0"/>
            </w:pPr>
            <w:r>
              <w:rPr>
                <w:rFonts w:ascii="Arial" w:cs="Arial" w:eastAsia="Arial" w:hAnsi="Arial"/>
                <w:color w:val="3A4E62"/>
                <w:sz w:val="20"/>
                <w:szCs w:val="20"/>
              </w:rPr>
              <w:t xml:space="preserve">Excess flood is not a standalone policy that replaces primary flood coverage. A valid primary flood policy must be in force before an excess flood policy can respond to a claim.</w:t>
            </w:r>
          </w:p>
        </w:tc>
      </w:tr>
      <w:tr>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Who Offers It</w:t>
            </w:r>
          </w:p>
          <w:p>
            <w:pPr>
              <w:spacing w:after="0" w:before="0"/>
            </w:pPr>
            <w:r>
              <w:rPr>
                <w:rFonts w:ascii="Arial" w:cs="Arial" w:eastAsia="Arial" w:hAnsi="Arial"/>
                <w:color w:val="3A4E62"/>
                <w:sz w:val="20"/>
                <w:szCs w:val="20"/>
              </w:rPr>
              <w:t xml:space="preserve">Excess flood insurance is primarily available through surplus lines markets, Lloyd’s of London syndicates, and specialty private insurers. It is not offered through NFIP, which only provides primary coverage.</w:t>
            </w:r>
          </w:p>
        </w:tc>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Coverage Amounts</w:t>
            </w:r>
          </w:p>
          <w:p>
            <w:pPr>
              <w:spacing w:after="0" w:before="0"/>
            </w:pPr>
            <w:r>
              <w:rPr>
                <w:rFonts w:ascii="Arial" w:cs="Arial" w:eastAsia="Arial" w:hAnsi="Arial"/>
                <w:color w:val="3A4E62"/>
                <w:sz w:val="20"/>
                <w:szCs w:val="20"/>
              </w:rPr>
              <w:t xml:space="preserve">Excess flood policies typically start where NFIP limits end — at $250,000 for residential building coverage — and can extend to $1 million, $5 million, or more depending on the property’s value and the carrier’s appetite.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DB4" w:sz="18"/>
              <w:bottom w:val="none" w:color="FFFFFF" w:sz="0"/>
              <w:right w:val="none" w:color="FFFFFF" w:sz="0"/>
            </w:tcBorders>
            <w:shd w:fill="EBF2FB" w:val="clear"/>
            <w:tcMar>
              <w:top w:type="dxa" w:w="110"/>
              <w:left w:type="dxa" w:w="200"/>
              <w:bottom w:type="dxa" w:w="110"/>
              <w:right w:type="dxa" w:w="160"/>
            </w:tcMar>
          </w:tcPr>
          <w:p>
            <w:pPr>
              <w:spacing w:after="0" w:before="0"/>
            </w:pPr>
            <w:r>
              <w:rPr>
                <w:rFonts w:ascii="Arial" w:cs="Arial" w:eastAsia="Arial" w:hAnsi="Arial"/>
                <w:b/>
                <w:bCs/>
                <w:color w:val="1A4E8A"/>
                <w:sz w:val="20"/>
                <w:szCs w:val="20"/>
              </w:rPr>
              <w:t xml:space="preserve">Key Takeaway: </w:t>
            </w:r>
            <w:r>
              <w:rPr>
                <w:rFonts w:ascii="Arial" w:cs="Arial" w:eastAsia="Arial" w:hAnsi="Arial"/>
                <w:color w:val="3A4E62"/>
                <w:sz w:val="20"/>
                <w:szCs w:val="20"/>
              </w:rPr>
              <w:t xml:space="preserve">Excess flood insurance does not change or expand the definition of a covered flood loss. The same flood event that triggers the primary policy must also be the cause of loss for the excess policy to respond.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2.  </w:t>
            </w:r>
            <w:r>
              <w:rPr>
                <w:rFonts w:ascii="Arial" w:cs="Arial" w:eastAsia="Arial" w:hAnsi="Arial"/>
                <w:b/>
                <w:bCs/>
                <w:color w:val="FFFFFF"/>
                <w:sz w:val="28"/>
                <w:szCs w:val="28"/>
              </w:rPr>
              <w:t xml:space="preserve">How Excess Flood Differs from Primary Flood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While primary and excess flood insurance both protect against flood losses, they serve fundamentally different roles in a property owner’s insurance program. Understanding their differences is essential to building a complete flood protection strategy.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180"/>
        <w:gridCol w:w="3180"/>
      </w:tblGrid>
      <w:tr>
        <w:tc>
          <w:tcPr>
            <w:tcW w:type="dxa" w:w="3000"/>
            <w:tcBorders>
              <w:top w:val="none" w:color="FFFFFF" w:sz="0"/>
              <w:left w:val="none" w:color="FFFFFF" w:sz="0"/>
              <w:bottom w:val="none" w:color="FFFFFF" w:sz="0"/>
              <w:right w:val="none" w:color="FFFFFF" w:sz="0"/>
            </w:tcBorders>
            <w:shd w:fill="2C3E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80"/>
            <w:tcBorders>
              <w:top w:val="none" w:color="FFFFFF" w:sz="0"/>
              <w:left w:val="none" w:color="FFFFFF" w:sz="0"/>
              <w:bottom w:val="none" w:color="FFFFFF" w:sz="0"/>
              <w:right w:val="none" w:color="FFFFFF" w:sz="0"/>
            </w:tcBorders>
            <w:shd w:fill="2E6DB4"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Primary Flood Insurance</w:t>
            </w:r>
          </w:p>
        </w:tc>
        <w:tc>
          <w:tcPr>
            <w:tcW w:type="dxa" w:w="3180"/>
            <w:tcBorders>
              <w:top w:val="none" w:color="FFFFFF" w:sz="0"/>
              <w:left w:val="none" w:color="FFFFFF" w:sz="0"/>
              <w:bottom w:val="none" w:color="FFFFFF" w:sz="0"/>
              <w:right w:val="none" w:color="FFFFFF" w:sz="0"/>
            </w:tcBorders>
            <w:shd w:fill="2E6DB4"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Excess Flood Insurance</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Trigger</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Flood event causes a covered loss</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Primary policy limit is exhausted first</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Who Issues It</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NFIP (via WYO) or private insurers</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Surplus lines or specialty private market</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Coverage Starts</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From dollar one (subject to deductible)</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Only above primary policy limit</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NFIP Backing</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Yes — NFIP is federally backed</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No — private market only</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Coverage Limits</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Up to $250K residential / $500K commercial</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Custom limits above primary layer</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ALE / Loss of Use</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Not available under NFIP</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Often available in excess policies</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Waiting Period</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30 days (NFIP) / shorter for private</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Varies by carrier; follows primary</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Deductible</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Applied per loss on primary policy</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Usually no separate deductible if primary exhausted</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Underwriting</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FEMA-regulated (NFIP) or private</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Private market underwriting only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00" w:sz="18"/>
              <w:bottom w:val="none" w:color="FFFFFF" w:sz="0"/>
              <w:right w:val="none" w:color="FFFFFF" w:sz="0"/>
            </w:tcBorders>
            <w:shd w:fill="FFFAED" w:val="clear"/>
            <w:tcMar>
              <w:top w:type="dxa" w:w="110"/>
              <w:left w:type="dxa" w:w="200"/>
              <w:bottom w:type="dxa" w:w="110"/>
              <w:right w:type="dxa" w:w="160"/>
            </w:tcMar>
          </w:tcPr>
          <w:p>
            <w:pPr>
              <w:spacing w:after="60" w:before="0"/>
            </w:pPr>
            <w:r>
              <w:rPr>
                <w:rFonts w:ascii="Arial" w:cs="Arial" w:eastAsia="Arial" w:hAnsi="Arial"/>
                <w:b/>
                <w:bCs/>
                <w:caps/>
                <w:color w:val="9A6E00"/>
                <w:sz w:val="19"/>
                <w:szCs w:val="19"/>
              </w:rPr>
              <w:t xml:space="preserve">Follow-Form vs. Manuscript Policies</w:t>
            </w:r>
          </w:p>
          <w:p>
            <w:pPr>
              <w:spacing w:after="0" w:before="0"/>
            </w:pPr>
            <w:r>
              <w:rPr>
                <w:rFonts w:ascii="Arial" w:cs="Arial" w:eastAsia="Arial" w:hAnsi="Arial"/>
                <w:color w:val="4A3800"/>
                <w:sz w:val="20"/>
                <w:szCs w:val="20"/>
              </w:rPr>
              <w:t xml:space="preserve">Some excess flood policies are “follow-form,” meaning they adopt the same coverage terms as the underlying primary policy. Others are “manuscript” policies with independently negotiated terms that may be broader or narrower than the primary. Always compare the excess policy terms to your primary policy terms carefully.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DB4" w:sz="18"/>
              <w:bottom w:val="none" w:color="FFFFFF" w:sz="0"/>
              <w:right w:val="none" w:color="FFFFFF" w:sz="0"/>
            </w:tcBorders>
            <w:shd w:fill="EBF2FB" w:val="clear"/>
            <w:tcMar>
              <w:top w:type="dxa" w:w="110"/>
              <w:left w:type="dxa" w:w="200"/>
              <w:bottom w:type="dxa" w:w="110"/>
              <w:right w:type="dxa" w:w="160"/>
            </w:tcMar>
          </w:tcPr>
          <w:p>
            <w:pPr>
              <w:spacing w:after="0" w:before="0"/>
            </w:pPr>
            <w:r>
              <w:rPr>
                <w:rFonts w:ascii="Arial" w:cs="Arial" w:eastAsia="Arial" w:hAnsi="Arial"/>
                <w:b/>
                <w:bCs/>
                <w:color w:val="1A4E8A"/>
                <w:sz w:val="20"/>
                <w:szCs w:val="20"/>
              </w:rPr>
              <w:t xml:space="preserve">Key Takeaway: </w:t>
            </w:r>
            <w:r>
              <w:rPr>
                <w:rFonts w:ascii="Arial" w:cs="Arial" w:eastAsia="Arial" w:hAnsi="Arial"/>
                <w:color w:val="3A4E62"/>
                <w:sz w:val="20"/>
                <w:szCs w:val="20"/>
              </w:rPr>
              <w:t xml:space="preserve">The most critical difference between primary and excess flood coverage is the attachment point — the dollar threshold at which the excess policy begins paying. This must be clearly defined and aligned with your primary policy’s maximum payout.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3.  </w:t>
            </w:r>
            <w:r>
              <w:rPr>
                <w:rFonts w:ascii="Arial" w:cs="Arial" w:eastAsia="Arial" w:hAnsi="Arial"/>
                <w:b/>
                <w:bCs/>
                <w:color w:val="FFFFFF"/>
                <w:sz w:val="28"/>
                <w:szCs w:val="28"/>
              </w:rPr>
              <w:t xml:space="preserve">Why NFIP Limits Are Often Insufficient</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The National Flood Insurance Program was designed to provide basic flood protection for the average American home. Its coverage limits — $250,000 for residential building coverage and $100,000 for contents — made sense when they were established, but today they fall short for a large and growing number of properties.</w:t>
      </w:r>
    </w:p>
    <w:p>
      <w:pPr>
        <w:spacing w:after="0" w:before="100"/>
      </w:pPr>
      <w:r>
        <w:rPr>
          <w:rFonts w:ascii="Arial" w:cs="Arial" w:eastAsia="Arial" w:hAnsi="Arial"/>
        </w:rPr>
        <w:t xml:space="preserve"/>
      </w:r>
    </w:p>
    <w:p>
      <w:pPr>
        <w:pBdr>
          <w:bottom w:val="single" w:color="C5D9F0" w:sz="4" w:space="4"/>
        </w:pBdr>
        <w:spacing w:after="80" w:before="220"/>
      </w:pPr>
      <w:r>
        <w:rPr>
          <w:rFonts w:ascii="Arial" w:cs="Arial" w:eastAsia="Arial" w:hAnsi="Arial"/>
          <w:b/>
          <w:bCs/>
          <w:color w:val="0A2540"/>
          <w:sz w:val="24"/>
          <w:szCs w:val="24"/>
        </w:rPr>
        <w:t xml:space="preserve">The NFIP Limits Problem</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1A4E8A"/>
          <w:sz w:val="22"/>
          <w:szCs w:val="22"/>
        </w:rPr>
        <w:t xml:space="preserve">Construction costs have risen sharply — </w:t>
      </w:r>
      <w:r>
        <w:rPr>
          <w:rFonts w:ascii="Arial" w:cs="Arial" w:eastAsia="Arial" w:hAnsi="Arial"/>
          <w:color w:val="3A4E62"/>
          <w:sz w:val="22"/>
          <w:szCs w:val="22"/>
        </w:rPr>
        <w:t xml:space="preserve">rebuilding costs have increased dramatically due to labor shortages, supply chain disruptions, and inflation. Many homes that cost $300,000, $500,000, or more to rebuild are insured for only $250,000 under NFIP</w:t>
      </w:r>
    </w:p>
    <w:p>
      <w:pPr>
        <w:pStyle w:val="ListParagraph"/>
        <w:numPr>
          <w:ilvl w:val="0"/>
          <w:numId w:val="2"/>
        </w:numPr>
        <w:spacing w:after="60" w:before="60"/>
      </w:pPr>
      <w:r>
        <w:rPr>
          <w:rFonts w:ascii="Arial" w:cs="Arial" w:eastAsia="Arial" w:hAnsi="Arial"/>
          <w:b/>
          <w:bCs/>
          <w:color w:val="1A4E8A"/>
          <w:sz w:val="22"/>
          <w:szCs w:val="22"/>
        </w:rPr>
        <w:t xml:space="preserve">High-value homes are structurally underinsured — </w:t>
      </w:r>
      <w:r>
        <w:rPr>
          <w:rFonts w:ascii="Arial" w:cs="Arial" w:eastAsia="Arial" w:hAnsi="Arial"/>
          <w:color w:val="3A4E62"/>
          <w:sz w:val="22"/>
          <w:szCs w:val="22"/>
        </w:rPr>
        <w:t xml:space="preserve">a home valued at $1 million or more faces a potential gap of $750,000 or more between its replacement cost and the NFIP building limit</w:t>
      </w:r>
    </w:p>
    <w:p>
      <w:pPr>
        <w:pStyle w:val="ListParagraph"/>
        <w:numPr>
          <w:ilvl w:val="0"/>
          <w:numId w:val="2"/>
        </w:numPr>
        <w:spacing w:after="60" w:before="60"/>
      </w:pPr>
      <w:r>
        <w:rPr>
          <w:rFonts w:ascii="Arial" w:cs="Arial" w:eastAsia="Arial" w:hAnsi="Arial"/>
          <w:b/>
          <w:bCs/>
          <w:color w:val="1A4E8A"/>
          <w:sz w:val="22"/>
          <w:szCs w:val="22"/>
        </w:rPr>
        <w:t xml:space="preserve">Contents limit is severely restricted — </w:t>
      </w:r>
      <w:r>
        <w:rPr>
          <w:rFonts w:ascii="Arial" w:cs="Arial" w:eastAsia="Arial" w:hAnsi="Arial"/>
          <w:color w:val="3A4E62"/>
          <w:sz w:val="22"/>
          <w:szCs w:val="22"/>
        </w:rPr>
        <w:t xml:space="preserve">NFIP’s $100,000 contents limit is inadequate for homeowners with high-value furnishings, electronics, art, jewelry, or other personal property</w:t>
      </w:r>
    </w:p>
    <w:p>
      <w:pPr>
        <w:pStyle w:val="ListParagraph"/>
        <w:numPr>
          <w:ilvl w:val="0"/>
          <w:numId w:val="2"/>
        </w:numPr>
        <w:spacing w:after="60" w:before="60"/>
      </w:pPr>
      <w:r>
        <w:rPr>
          <w:rFonts w:ascii="Arial" w:cs="Arial" w:eastAsia="Arial" w:hAnsi="Arial"/>
          <w:b/>
          <w:bCs/>
          <w:color w:val="1A4E8A"/>
          <w:sz w:val="22"/>
          <w:szCs w:val="22"/>
        </w:rPr>
        <w:t xml:space="preserve">No additional living expenses coverage — </w:t>
      </w:r>
      <w:r>
        <w:rPr>
          <w:rFonts w:ascii="Arial" w:cs="Arial" w:eastAsia="Arial" w:hAnsi="Arial"/>
          <w:color w:val="3A4E62"/>
          <w:sz w:val="22"/>
          <w:szCs w:val="22"/>
        </w:rPr>
        <w:t xml:space="preserve">NFIP does not pay for temporary housing, meals, or other displacement costs while your home is being repaired — leaving families to fund these costs out of pocket</w:t>
      </w:r>
    </w:p>
    <w:p>
      <w:pPr>
        <w:pStyle w:val="ListParagraph"/>
        <w:numPr>
          <w:ilvl w:val="0"/>
          <w:numId w:val="2"/>
        </w:numPr>
        <w:spacing w:after="60" w:before="60"/>
      </w:pPr>
      <w:r>
        <w:rPr>
          <w:rFonts w:ascii="Arial" w:cs="Arial" w:eastAsia="Arial" w:hAnsi="Arial"/>
          <w:b/>
          <w:bCs/>
          <w:color w:val="1A4E8A"/>
          <w:sz w:val="22"/>
          <w:szCs w:val="22"/>
        </w:rPr>
        <w:t xml:space="preserve">Commercial properties face even larger gaps — </w:t>
      </w:r>
      <w:r>
        <w:rPr>
          <w:rFonts w:ascii="Arial" w:cs="Arial" w:eastAsia="Arial" w:hAnsi="Arial"/>
          <w:color w:val="3A4E62"/>
          <w:sz w:val="22"/>
          <w:szCs w:val="22"/>
        </w:rPr>
        <w:t xml:space="preserve">while NFIP’s commercial building limit is $500,000, most commercial properties are worth far more — and business interruption losses are entirely uncovered</w:t>
      </w:r>
    </w:p>
    <w:p>
      <w:pPr>
        <w:pStyle w:val="ListParagraph"/>
        <w:numPr>
          <w:ilvl w:val="0"/>
          <w:numId w:val="2"/>
        </w:numPr>
        <w:spacing w:after="60" w:before="60"/>
      </w:pPr>
      <w:r>
        <w:rPr>
          <w:rFonts w:ascii="Arial" w:cs="Arial" w:eastAsia="Arial" w:hAnsi="Arial"/>
          <w:b/>
          <w:bCs/>
          <w:color w:val="1A4E8A"/>
          <w:sz w:val="22"/>
          <w:szCs w:val="22"/>
        </w:rPr>
        <w:t xml:space="preserve">Coastal and catastrophic losses exceed primary limits — </w:t>
      </w:r>
      <w:r>
        <w:rPr>
          <w:rFonts w:ascii="Arial" w:cs="Arial" w:eastAsia="Arial" w:hAnsi="Arial"/>
          <w:color w:val="3A4E62"/>
          <w:sz w:val="22"/>
          <w:szCs w:val="22"/>
        </w:rPr>
        <w:t xml:space="preserve">in major hurricane and storm surge events, total losses routinely reach millions of dollars per property, far exceeding any primary flood limit</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5C2A" w:sz="18"/>
              <w:bottom w:val="none" w:color="FFFFFF" w:sz="0"/>
              <w:right w:val="none" w:color="FFFFFF" w:sz="0"/>
            </w:tcBorders>
            <w:shd w:fill="EDF7F0" w:val="clear"/>
            <w:tcMar>
              <w:top w:type="dxa" w:w="110"/>
              <w:left w:type="dxa" w:w="200"/>
              <w:bottom w:type="dxa" w:w="110"/>
              <w:right w:type="dxa" w:w="160"/>
            </w:tcMar>
          </w:tcPr>
          <w:p>
            <w:pPr>
              <w:spacing w:after="60" w:before="0"/>
            </w:pPr>
            <w:r>
              <w:rPr>
                <w:rFonts w:ascii="Arial" w:cs="Arial" w:eastAsia="Arial" w:hAnsi="Arial"/>
                <w:b/>
                <w:bCs/>
                <w:caps/>
                <w:color w:val="1A5C2A"/>
                <w:sz w:val="19"/>
                <w:szCs w:val="19"/>
              </w:rPr>
              <w:t xml:space="preserve">Real-World Example</w:t>
            </w:r>
          </w:p>
          <w:p>
            <w:pPr>
              <w:spacing w:after="0" w:before="0"/>
            </w:pPr>
            <w:r>
              <w:rPr>
                <w:rFonts w:ascii="Arial" w:cs="Arial" w:eastAsia="Arial" w:hAnsi="Arial"/>
                <w:color w:val="1A3A22"/>
                <w:sz w:val="20"/>
                <w:szCs w:val="20"/>
              </w:rPr>
              <w:t xml:space="preserve">A coastal homeowner has a residence with a replacement cost of $800,000. Their NFIP policy covers up to $250,000 for the building structure. After a hurricane storm surge causes $600,000 in flood damage, NFIP pays $250,000. Without excess flood coverage, the homeowner faces a $350,000 out-of-pocket loss.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Underinsurance Risk Is Growing</w:t>
            </w:r>
          </w:p>
          <w:p>
            <w:pPr>
              <w:spacing w:after="0" w:before="0"/>
            </w:pPr>
            <w:r>
              <w:rPr>
                <w:rFonts w:ascii="Arial" w:cs="Arial" w:eastAsia="Arial" w:hAnsi="Arial"/>
                <w:color w:val="5A1010"/>
                <w:sz w:val="20"/>
                <w:szCs w:val="20"/>
              </w:rPr>
              <w:t xml:space="preserve">As home values and construction costs continue to rise, the gap between NFIP’s fixed limits and actual replacement costs widens every year. A property that was adequately protected at NFIP limits a decade ago may now be significantly underinsured without excess flood coverage.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4.  </w:t>
            </w:r>
            <w:r>
              <w:rPr>
                <w:rFonts w:ascii="Arial" w:cs="Arial" w:eastAsia="Arial" w:hAnsi="Arial"/>
                <w:b/>
                <w:bCs/>
                <w:color w:val="FFFFFF"/>
                <w:sz w:val="28"/>
                <w:szCs w:val="28"/>
              </w:rPr>
              <w:t xml:space="preserve">Who Needs Excess Flood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Excess flood insurance is not just for the ultra-wealthy. Any property owner whose flood exposure exceeds the limits of their primary flood policy has a potential need for excess coverage. The following categories of property owners should give serious consideration to excess flood insurance.</w:t>
      </w:r>
    </w:p>
    <w:p>
      <w:pPr>
        <w:spacing w:after="0" w:before="80"/>
      </w:pPr>
      <w:r>
        <w:rPr>
          <w:rFonts w:ascii="Arial" w:cs="Arial" w:eastAsia="Arial" w:hAnsi="Arial"/>
        </w:rPr>
        <w:t xml:space="preserve"/>
      </w:r>
    </w:p>
    <w:p>
      <w:pPr>
        <w:pBdr>
          <w:bottom w:val="single" w:color="C5D9F0" w:sz="4" w:space="4"/>
        </w:pBdr>
        <w:spacing w:after="80" w:before="220"/>
      </w:pPr>
      <w:r>
        <w:rPr>
          <w:rFonts w:ascii="Arial" w:cs="Arial" w:eastAsia="Arial" w:hAnsi="Arial"/>
          <w:b/>
          <w:bCs/>
          <w:color w:val="0A2540"/>
          <w:sz w:val="24"/>
          <w:szCs w:val="24"/>
        </w:rPr>
        <w:t xml:space="preserve">Primary Candidates for Excess Flood Coverage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1A4E8A"/>
          <w:sz w:val="22"/>
          <w:szCs w:val="22"/>
        </w:rPr>
        <w:t xml:space="preserve">High-value homeowners — </w:t>
      </w:r>
      <w:r>
        <w:rPr>
          <w:rFonts w:ascii="Arial" w:cs="Arial" w:eastAsia="Arial" w:hAnsi="Arial"/>
          <w:color w:val="3A4E62"/>
          <w:sz w:val="22"/>
          <w:szCs w:val="22"/>
        </w:rPr>
        <w:t xml:space="preserve">any home with a replacement cost exceeding $250,000 — which today includes a large portion of U.S. housing stock — has a potential gap that only excess flood coverage can close</w:t>
      </w:r>
    </w:p>
    <w:p>
      <w:pPr>
        <w:pStyle w:val="ListParagraph"/>
        <w:numPr>
          <w:ilvl w:val="0"/>
          <w:numId w:val="2"/>
        </w:numPr>
        <w:spacing w:after="60" w:before="60"/>
      </w:pPr>
      <w:r>
        <w:rPr>
          <w:rFonts w:ascii="Arial" w:cs="Arial" w:eastAsia="Arial" w:hAnsi="Arial"/>
          <w:b/>
          <w:bCs/>
          <w:color w:val="1A4E8A"/>
          <w:sz w:val="22"/>
          <w:szCs w:val="22"/>
        </w:rPr>
        <w:t xml:space="preserve">Coastal property owners — </w:t>
      </w:r>
      <w:r>
        <w:rPr>
          <w:rFonts w:ascii="Arial" w:cs="Arial" w:eastAsia="Arial" w:hAnsi="Arial"/>
          <w:color w:val="3A4E62"/>
          <w:sz w:val="22"/>
          <w:szCs w:val="22"/>
        </w:rPr>
        <w:t xml:space="preserve">homes and commercial properties exposed to storm surge, hurricane flooding, and coastal inundation face the highest potential for catastrophic flood losses that far exceed NFIP limits</w:t>
      </w:r>
    </w:p>
    <w:p>
      <w:pPr>
        <w:pStyle w:val="ListParagraph"/>
        <w:numPr>
          <w:ilvl w:val="0"/>
          <w:numId w:val="2"/>
        </w:numPr>
        <w:spacing w:after="60" w:before="60"/>
      </w:pPr>
      <w:r>
        <w:rPr>
          <w:rFonts w:ascii="Arial" w:cs="Arial" w:eastAsia="Arial" w:hAnsi="Arial"/>
          <w:b/>
          <w:bCs/>
          <w:color w:val="1A4E8A"/>
          <w:sz w:val="22"/>
          <w:szCs w:val="22"/>
        </w:rPr>
        <w:t xml:space="preserve">Luxury and custom home owners — </w:t>
      </w:r>
      <w:r>
        <w:rPr>
          <w:rFonts w:ascii="Arial" w:cs="Arial" w:eastAsia="Arial" w:hAnsi="Arial"/>
          <w:color w:val="3A4E62"/>
          <w:sz w:val="22"/>
          <w:szCs w:val="22"/>
        </w:rPr>
        <w:t xml:space="preserve">high-end finishes, custom construction, smart-home systems, and premium materials dramatically increase rebuilding costs above standard construction estimates</w:t>
      </w:r>
    </w:p>
    <w:p>
      <w:pPr>
        <w:pStyle w:val="ListParagraph"/>
        <w:numPr>
          <w:ilvl w:val="0"/>
          <w:numId w:val="2"/>
        </w:numPr>
        <w:spacing w:after="60" w:before="60"/>
      </w:pPr>
      <w:r>
        <w:rPr>
          <w:rFonts w:ascii="Arial" w:cs="Arial" w:eastAsia="Arial" w:hAnsi="Arial"/>
          <w:b/>
          <w:bCs/>
          <w:color w:val="1A4E8A"/>
          <w:sz w:val="22"/>
          <w:szCs w:val="22"/>
        </w:rPr>
        <w:t xml:space="preserve">Commercial property owners — </w:t>
      </w:r>
      <w:r>
        <w:rPr>
          <w:rFonts w:ascii="Arial" w:cs="Arial" w:eastAsia="Arial" w:hAnsi="Arial"/>
          <w:color w:val="3A4E62"/>
          <w:sz w:val="22"/>
          <w:szCs w:val="22"/>
        </w:rPr>
        <w:t xml:space="preserve">office buildings, retail properties, industrial facilities, and multifamily buildings typically have values and business interruption exposures that vastly exceed NFIP commercial limits</w:t>
      </w:r>
    </w:p>
    <w:p>
      <w:pPr>
        <w:pStyle w:val="ListParagraph"/>
        <w:numPr>
          <w:ilvl w:val="0"/>
          <w:numId w:val="2"/>
        </w:numPr>
        <w:spacing w:after="60" w:before="60"/>
      </w:pPr>
      <w:r>
        <w:rPr>
          <w:rFonts w:ascii="Arial" w:cs="Arial" w:eastAsia="Arial" w:hAnsi="Arial"/>
          <w:b/>
          <w:bCs/>
          <w:color w:val="1A4E8A"/>
          <w:sz w:val="22"/>
          <w:szCs w:val="22"/>
        </w:rPr>
        <w:t xml:space="preserve">Landlords and investors — </w:t>
      </w:r>
      <w:r>
        <w:rPr>
          <w:rFonts w:ascii="Arial" w:cs="Arial" w:eastAsia="Arial" w:hAnsi="Arial"/>
          <w:color w:val="3A4E62"/>
          <w:sz w:val="22"/>
          <w:szCs w:val="22"/>
        </w:rPr>
        <w:t xml:space="preserve">investment property owners face both structural replacement costs and loss of rental income during flood-related displacement — neither of which NFIP adequately addresses</w:t>
      </w:r>
    </w:p>
    <w:p>
      <w:pPr>
        <w:pStyle w:val="ListParagraph"/>
        <w:numPr>
          <w:ilvl w:val="0"/>
          <w:numId w:val="2"/>
        </w:numPr>
        <w:spacing w:after="60" w:before="60"/>
      </w:pPr>
      <w:r>
        <w:rPr>
          <w:rFonts w:ascii="Arial" w:cs="Arial" w:eastAsia="Arial" w:hAnsi="Arial"/>
          <w:b/>
          <w:bCs/>
          <w:color w:val="1A4E8A"/>
          <w:sz w:val="22"/>
          <w:szCs w:val="22"/>
        </w:rPr>
        <w:t xml:space="preserve">Historic and unique properties — </w:t>
      </w:r>
      <w:r>
        <w:rPr>
          <w:rFonts w:ascii="Arial" w:cs="Arial" w:eastAsia="Arial" w:hAnsi="Arial"/>
          <w:color w:val="3A4E62"/>
          <w:sz w:val="22"/>
          <w:szCs w:val="22"/>
        </w:rPr>
        <w:t xml:space="preserve">properties with historic designations, custom architecture, or unique building materials often face rebuilding costs that far exceed standard replacement cost estimates</w:t>
      </w:r>
    </w:p>
    <w:p>
      <w:pPr>
        <w:pStyle w:val="ListParagraph"/>
        <w:numPr>
          <w:ilvl w:val="0"/>
          <w:numId w:val="2"/>
        </w:numPr>
        <w:spacing w:after="60" w:before="60"/>
      </w:pPr>
      <w:r>
        <w:rPr>
          <w:rFonts w:ascii="Arial" w:cs="Arial" w:eastAsia="Arial" w:hAnsi="Arial"/>
          <w:b/>
          <w:bCs/>
          <w:color w:val="1A4E8A"/>
          <w:sz w:val="22"/>
          <w:szCs w:val="22"/>
        </w:rPr>
        <w:t xml:space="preserve">Properties in repetitive loss areas — </w:t>
      </w:r>
      <w:r>
        <w:rPr>
          <w:rFonts w:ascii="Arial" w:cs="Arial" w:eastAsia="Arial" w:hAnsi="Arial"/>
          <w:color w:val="3A4E62"/>
          <w:sz w:val="22"/>
          <w:szCs w:val="22"/>
        </w:rPr>
        <w:t xml:space="preserve">properties with a history of flood claims face the greatest risk of catastrophic flood loss and have the most to gain from excess coverage</w:t>
      </w:r>
    </w:p>
    <w:p>
      <w:pPr>
        <w:pStyle w:val="ListParagraph"/>
        <w:numPr>
          <w:ilvl w:val="0"/>
          <w:numId w:val="2"/>
        </w:numPr>
        <w:spacing w:after="60" w:before="60"/>
      </w:pPr>
      <w:r>
        <w:rPr>
          <w:rFonts w:ascii="Arial" w:cs="Arial" w:eastAsia="Arial" w:hAnsi="Arial"/>
          <w:b/>
          <w:bCs/>
          <w:color w:val="1A4E8A"/>
          <w:sz w:val="22"/>
          <w:szCs w:val="22"/>
        </w:rPr>
        <w:t xml:space="preserve">High-content-value properties — </w:t>
      </w:r>
      <w:r>
        <w:rPr>
          <w:rFonts w:ascii="Arial" w:cs="Arial" w:eastAsia="Arial" w:hAnsi="Arial"/>
          <w:color w:val="3A4E62"/>
          <w:sz w:val="22"/>
          <w:szCs w:val="22"/>
        </w:rPr>
        <w:t xml:space="preserve">homeowners with expensive art, antiques, wine collections, jewelry, or high-end furnishings will find NFIP’s $100,000 contents limit wholly inadequate</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DB4" w:sz="18"/>
              <w:bottom w:val="none" w:color="FFFFFF" w:sz="0"/>
              <w:right w:val="none" w:color="FFFFFF" w:sz="0"/>
            </w:tcBorders>
            <w:shd w:fill="EBF2FB" w:val="clear"/>
            <w:tcMar>
              <w:top w:type="dxa" w:w="110"/>
              <w:left w:type="dxa" w:w="200"/>
              <w:bottom w:type="dxa" w:w="110"/>
              <w:right w:type="dxa" w:w="160"/>
            </w:tcMar>
          </w:tcPr>
          <w:p>
            <w:pPr>
              <w:spacing w:after="0" w:before="0"/>
            </w:pPr>
            <w:r>
              <w:rPr>
                <w:rFonts w:ascii="Arial" w:cs="Arial" w:eastAsia="Arial" w:hAnsi="Arial"/>
                <w:b/>
                <w:bCs/>
                <w:color w:val="1A4E8A"/>
                <w:sz w:val="20"/>
                <w:szCs w:val="20"/>
              </w:rPr>
              <w:t xml:space="preserve">Key Takeaway: </w:t>
            </w:r>
            <w:r>
              <w:rPr>
                <w:rFonts w:ascii="Arial" w:cs="Arial" w:eastAsia="Arial" w:hAnsi="Arial"/>
                <w:color w:val="3A4E62"/>
                <w:sz w:val="20"/>
                <w:szCs w:val="20"/>
              </w:rPr>
              <w:t xml:space="preserve">A helpful rule of thumb: if your property’s replacement cost exceeds $250,000, or if you have personal property worth more than $100,000, you should evaluate whether excess flood insurance is appropriate for your situation.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5.  </w:t>
            </w:r>
            <w:r>
              <w:rPr>
                <w:rFonts w:ascii="Arial" w:cs="Arial" w:eastAsia="Arial" w:hAnsi="Arial"/>
                <w:b/>
                <w:bCs/>
                <w:color w:val="FFFFFF"/>
                <w:sz w:val="28"/>
                <w:szCs w:val="28"/>
              </w:rPr>
              <w:t xml:space="preserve">Excess Flood vs. Surplus Lines Flood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Two terms that are often used together — and sometimes confused — in the excess flood market are “excess flood insurance” and “surplus lines flood insurance.” These terms describe different aspects of the coverage and market through which it is placed.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Excess Flood Insurance (Coverage Concept)</w:t>
            </w:r>
          </w:p>
          <w:p>
            <w:pPr>
              <w:spacing w:after="0" w:before="0"/>
            </w:pPr>
            <w:r>
              <w:rPr>
                <w:rFonts w:ascii="Arial" w:cs="Arial" w:eastAsia="Arial" w:hAnsi="Arial"/>
                <w:color w:val="3A4E62"/>
                <w:sz w:val="20"/>
                <w:szCs w:val="20"/>
              </w:rPr>
              <w:t xml:space="preserve">Describes the position of coverage in the insurance tower — it sits above, or in excess of, a primary flood policy. The term “excess” refers to how the coverage attaches and responds relative to the underlying policy.</w:t>
            </w:r>
          </w:p>
        </w:tc>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Surplus Lines Insurance (Market Channel)</w:t>
            </w:r>
          </w:p>
          <w:p>
            <w:pPr>
              <w:spacing w:after="0" w:before="0"/>
            </w:pPr>
            <w:r>
              <w:rPr>
                <w:rFonts w:ascii="Arial" w:cs="Arial" w:eastAsia="Arial" w:hAnsi="Arial"/>
                <w:color w:val="3A4E62"/>
                <w:sz w:val="20"/>
                <w:szCs w:val="20"/>
              </w:rPr>
              <w:t xml:space="preserve">Describes the regulatory and market framework through which non-admitted insurance is sold. Surplus lines insurers are not licensed in the state where the risk is located but are authorized to write coverage that admitted carriers cannot or will not provide.</w:t>
            </w:r>
          </w:p>
        </w:tc>
      </w:tr>
      <w:tr>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The Relationship Between the Two</w:t>
            </w:r>
          </w:p>
          <w:p>
            <w:pPr>
              <w:spacing w:after="0" w:before="0"/>
            </w:pPr>
            <w:r>
              <w:rPr>
                <w:rFonts w:ascii="Arial" w:cs="Arial" w:eastAsia="Arial" w:hAnsi="Arial"/>
                <w:color w:val="3A4E62"/>
                <w:sz w:val="20"/>
                <w:szCs w:val="20"/>
              </w:rPr>
              <w:t xml:space="preserve">Excess flood insurance is most commonly placed in the surplus lines market because admitted (standard) carriers generally do not offer coverage above NFIP limits. This means most excess flood policies are both “excess” in position and “surplus lines” in market channel — but the two terms are not synonymous.</w:t>
            </w:r>
          </w:p>
        </w:tc>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Admitted vs. Non-Admitted Carriers</w:t>
            </w:r>
          </w:p>
          <w:p>
            <w:pPr>
              <w:spacing w:after="0" w:before="0"/>
            </w:pPr>
            <w:r>
              <w:rPr>
                <w:rFonts w:ascii="Arial" w:cs="Arial" w:eastAsia="Arial" w:hAnsi="Arial"/>
                <w:color w:val="3A4E62"/>
                <w:sz w:val="20"/>
                <w:szCs w:val="20"/>
              </w:rPr>
              <w:t xml:space="preserve">Admitted insurers are licensed by the state and subject to state rate and form regulation. Non-admitted surplus lines carriers operate under lighter state oversight, which gives them more flexibility to customize terms but also means policyholders have less regulatory protection in disputes.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180"/>
        <w:gridCol w:w="3180"/>
      </w:tblGrid>
      <w:tr>
        <w:tc>
          <w:tcPr>
            <w:tcW w:type="dxa" w:w="3000"/>
            <w:tcBorders>
              <w:top w:val="none" w:color="FFFFFF" w:sz="0"/>
              <w:left w:val="none" w:color="FFFFFF" w:sz="0"/>
              <w:bottom w:val="none" w:color="FFFFFF" w:sz="0"/>
              <w:right w:val="none" w:color="FFFFFF" w:sz="0"/>
            </w:tcBorders>
            <w:shd w:fill="2C3E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Characteristic</w:t>
            </w:r>
          </w:p>
        </w:tc>
        <w:tc>
          <w:tcPr>
            <w:tcW w:type="dxa" w:w="3180"/>
            <w:tcBorders>
              <w:top w:val="none" w:color="FFFFFF" w:sz="0"/>
              <w:left w:val="none" w:color="FFFFFF" w:sz="0"/>
              <w:bottom w:val="none" w:color="FFFFFF" w:sz="0"/>
              <w:right w:val="none" w:color="FFFFFF" w:sz="0"/>
            </w:tcBorders>
            <w:shd w:fill="2E6DB4"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Excess Flood (Admitted)</w:t>
            </w:r>
          </w:p>
        </w:tc>
        <w:tc>
          <w:tcPr>
            <w:tcW w:type="dxa" w:w="3180"/>
            <w:tcBorders>
              <w:top w:val="none" w:color="FFFFFF" w:sz="0"/>
              <w:left w:val="none" w:color="FFFFFF" w:sz="0"/>
              <w:bottom w:val="none" w:color="FFFFFF" w:sz="0"/>
              <w:right w:val="none" w:color="FFFFFF" w:sz="0"/>
            </w:tcBorders>
            <w:shd w:fill="2E6DB4"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Excess Flood (Surplus Lines)</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State regulation</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Fully regulated rates and forms</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Less regulated; more flexibility</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Availability</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Limited; rare in standard market</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Primary channel for excess flood</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Guaranty fund protection</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Yes — state insolvency fund</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Generally no guaranty fund protection</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Policy customization</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Restricted to approved forms</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Manuscript forms available</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Broker requirement</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Standard licensed agent</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Must be placed by licensed surplus lines broker</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Stamping office filing</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Not required</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Required in most states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Surplus Lines Consumer Protections</w:t>
            </w:r>
          </w:p>
          <w:p>
            <w:pPr>
              <w:spacing w:after="0" w:before="0"/>
            </w:pPr>
            <w:r>
              <w:rPr>
                <w:rFonts w:ascii="Arial" w:cs="Arial" w:eastAsia="Arial" w:hAnsi="Arial"/>
                <w:color w:val="5A1010"/>
                <w:sz w:val="20"/>
                <w:szCs w:val="20"/>
              </w:rPr>
              <w:t xml:space="preserve">Because surplus lines policies are non-admitted, policyholders do not benefit from state guaranty fund protection in the event of insurer insolvency. It is critical to evaluate the financial strength and stability of any excess flood insurer before purchasing coverage — particularly for high-value properties.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6.  </w:t>
            </w:r>
            <w:r>
              <w:rPr>
                <w:rFonts w:ascii="Arial" w:cs="Arial" w:eastAsia="Arial" w:hAnsi="Arial"/>
                <w:b/>
                <w:bCs/>
                <w:color w:val="FFFFFF"/>
                <w:sz w:val="28"/>
                <w:szCs w:val="28"/>
              </w:rPr>
              <w:t xml:space="preserve">How Excess Flood Layers Over NFIP</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When excess flood insurance is structured over an NFIP primary policy, the result is a two-tier flood protection program. The NFIP policy pays first — up to its maximum limit — and the excess policy pays any covered loss amount above that threshold. Understanding precisely how this layering works is essential to avoiding coverage gaps.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single" w:color="FFFFFF" w:sz="3"/>
              <w:right w:val="none" w:color="FFFFFF" w:sz="0"/>
            </w:tcBorders>
            <w:shd w:fill="1A3A6A"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EXCESS FLOOD POLICY</w:t>
            </w:r>
          </w:p>
          <w:p>
            <w:pPr>
              <w:spacing w:after="0" w:before="0"/>
              <w:jc w:val="center"/>
            </w:pPr>
            <w:r>
              <w:rPr>
                <w:rFonts w:ascii="Arial" w:cs="Arial" w:eastAsia="Arial" w:hAnsi="Arial"/>
                <w:color w:val="A8C4E0"/>
                <w:sz w:val="19"/>
                <w:szCs w:val="19"/>
              </w:rPr>
              <w:t xml:space="preserve">Pays losses above NFIP limit — up to excess policy limit (e.g., $250,001 to $1,000,000)</w:t>
            </w:r>
          </w:p>
        </w:tc>
      </w:tr>
      <w:tr>
        <w:tc>
          <w:tcPr>
            <w:tcBorders>
              <w:top w:val="none" w:color="FFFFFF" w:sz="0"/>
              <w:left w:val="none" w:color="FFFFFF" w:sz="0"/>
              <w:bottom w:val="single" w:color="FFFFFF" w:sz="3"/>
              <w:right w:val="none" w:color="FFFFFF" w:sz="0"/>
            </w:tcBorders>
            <w:shd w:fill="2E6DB4"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NFIP PRIMARY POLICY</w:t>
            </w:r>
          </w:p>
          <w:p>
            <w:pPr>
              <w:spacing w:after="0" w:before="0"/>
              <w:jc w:val="center"/>
            </w:pPr>
            <w:r>
              <w:rPr>
                <w:rFonts w:ascii="Arial" w:cs="Arial" w:eastAsia="Arial" w:hAnsi="Arial"/>
                <w:color w:val="C5D9F0"/>
                <w:sz w:val="19"/>
                <w:szCs w:val="19"/>
              </w:rPr>
              <w:t xml:space="preserve">Pays from dollar one (after deductible) up to $250,000 building / $100,000 contents</w:t>
            </w:r>
          </w:p>
        </w:tc>
      </w:tr>
      <w:tr>
        <w:tc>
          <w:tcPr>
            <w:tcBorders>
              <w:top w:val="none" w:color="FFFFFF" w:sz="0"/>
              <w:left w:val="none" w:color="FFFFFF" w:sz="0"/>
              <w:bottom w:val="single" w:color="FFFFFF" w:sz="3"/>
              <w:right w:val="none" w:color="FFFFFF" w:sz="0"/>
            </w:tcBorders>
            <w:shd w:fill="3A8CC8"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DEDUCTIBLE (POLICYHOLDER RETENTION)</w:t>
            </w:r>
          </w:p>
          <w:p>
            <w:pPr>
              <w:spacing w:after="0" w:before="0"/>
              <w:jc w:val="center"/>
            </w:pPr>
            <w:r>
              <w:rPr>
                <w:rFonts w:ascii="Arial" w:cs="Arial" w:eastAsia="Arial" w:hAnsi="Arial"/>
                <w:color w:val="D8EAF5"/>
                <w:sz w:val="19"/>
                <w:szCs w:val="19"/>
              </w:rPr>
              <w:t xml:space="preserve">Policyholder absorbs initial loss up to NFIP deductible amount</w:t>
            </w:r>
          </w:p>
        </w:tc>
      </w:tr>
    </w:tbl>
    <w:p>
      <w:pPr>
        <w:spacing w:after="0" w:before="120"/>
      </w:pPr>
      <w:r>
        <w:rPr>
          <w:rFonts w:ascii="Arial" w:cs="Arial" w:eastAsia="Arial" w:hAnsi="Arial"/>
        </w:rPr>
        <w:t xml:space="preserve"/>
      </w:r>
    </w:p>
    <w:p>
      <w:pPr>
        <w:pBdr>
          <w:bottom w:val="single" w:color="C5D9F0" w:sz="4" w:space="4"/>
        </w:pBdr>
        <w:spacing w:after="80" w:before="220"/>
      </w:pPr>
      <w:r>
        <w:rPr>
          <w:rFonts w:ascii="Arial" w:cs="Arial" w:eastAsia="Arial" w:hAnsi="Arial"/>
          <w:b/>
          <w:bCs/>
          <w:color w:val="0A2540"/>
          <w:sz w:val="24"/>
          <w:szCs w:val="24"/>
        </w:rPr>
        <w:t xml:space="preserve">Key Requirements for NFIP-Backed Excess Programs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1A4E8A"/>
          <w:sz w:val="22"/>
          <w:szCs w:val="22"/>
        </w:rPr>
        <w:t xml:space="preserve">NFIP policy must be active and in force — </w:t>
      </w:r>
      <w:r>
        <w:rPr>
          <w:rFonts w:ascii="Arial" w:cs="Arial" w:eastAsia="Arial" w:hAnsi="Arial"/>
          <w:color w:val="3A4E62"/>
          <w:sz w:val="22"/>
          <w:szCs w:val="22"/>
        </w:rPr>
        <w:t xml:space="preserve">the excess carrier requires proof of a current, valid NFIP policy as a condition of excess coverage — a lapsed or cancelled NFIP policy can void excess coverage</w:t>
      </w:r>
    </w:p>
    <w:p>
      <w:pPr>
        <w:pStyle w:val="ListParagraph"/>
        <w:numPr>
          <w:ilvl w:val="0"/>
          <w:numId w:val="2"/>
        </w:numPr>
        <w:spacing w:after="60" w:before="60"/>
      </w:pPr>
      <w:r>
        <w:rPr>
          <w:rFonts w:ascii="Arial" w:cs="Arial" w:eastAsia="Arial" w:hAnsi="Arial"/>
          <w:b/>
          <w:bCs/>
          <w:color w:val="1A4E8A"/>
          <w:sz w:val="22"/>
          <w:szCs w:val="22"/>
        </w:rPr>
        <w:t xml:space="preserve">NFIP must be fully exhausted — </w:t>
      </w:r>
      <w:r>
        <w:rPr>
          <w:rFonts w:ascii="Arial" w:cs="Arial" w:eastAsia="Arial" w:hAnsi="Arial"/>
          <w:color w:val="3A4E62"/>
          <w:sz w:val="22"/>
          <w:szCs w:val="22"/>
        </w:rPr>
        <w:t xml:space="preserve">the excess policy does not pay unless the full NFIP limit has been paid by NFIP — a partial NFIP claim does not trigger the excess layer</w:t>
      </w:r>
    </w:p>
    <w:p>
      <w:pPr>
        <w:pStyle w:val="ListParagraph"/>
        <w:numPr>
          <w:ilvl w:val="0"/>
          <w:numId w:val="2"/>
        </w:numPr>
        <w:spacing w:after="60" w:before="60"/>
      </w:pPr>
      <w:r>
        <w:rPr>
          <w:rFonts w:ascii="Arial" w:cs="Arial" w:eastAsia="Arial" w:hAnsi="Arial"/>
          <w:b/>
          <w:bCs/>
          <w:color w:val="1A4E8A"/>
          <w:sz w:val="22"/>
          <w:szCs w:val="22"/>
        </w:rPr>
        <w:t xml:space="preserve">Matching deductibles may apply — </w:t>
      </w:r>
      <w:r>
        <w:rPr>
          <w:rFonts w:ascii="Arial" w:cs="Arial" w:eastAsia="Arial" w:hAnsi="Arial"/>
          <w:color w:val="3A4E62"/>
          <w:sz w:val="22"/>
          <w:szCs w:val="22"/>
        </w:rPr>
        <w:t xml:space="preserve">some excess carriers require that the NFIP policy carry a specific maximum deductible to ensure proper coordination between the primary and excess layers</w:t>
      </w:r>
    </w:p>
    <w:p>
      <w:pPr>
        <w:pStyle w:val="ListParagraph"/>
        <w:numPr>
          <w:ilvl w:val="0"/>
          <w:numId w:val="2"/>
        </w:numPr>
        <w:spacing w:after="60" w:before="60"/>
      </w:pPr>
      <w:r>
        <w:rPr>
          <w:rFonts w:ascii="Arial" w:cs="Arial" w:eastAsia="Arial" w:hAnsi="Arial"/>
          <w:b/>
          <w:bCs/>
          <w:color w:val="1A4E8A"/>
          <w:sz w:val="22"/>
          <w:szCs w:val="22"/>
        </w:rPr>
        <w:t xml:space="preserve">Concurrent causation considerations — </w:t>
      </w:r>
      <w:r>
        <w:rPr>
          <w:rFonts w:ascii="Arial" w:cs="Arial" w:eastAsia="Arial" w:hAnsi="Arial"/>
          <w:color w:val="3A4E62"/>
          <w:sz w:val="22"/>
          <w:szCs w:val="22"/>
        </w:rPr>
        <w:t xml:space="preserve">if a loss involves both flood and non-flood causes (e.g., wind and flood from a hurricane), coverage coordination between NFIP, homeowners, and excess flood policies becomes complex and requires careful review</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5C2A" w:sz="18"/>
              <w:bottom w:val="none" w:color="FFFFFF" w:sz="0"/>
              <w:right w:val="none" w:color="FFFFFF" w:sz="0"/>
            </w:tcBorders>
            <w:shd w:fill="EDF7F0" w:val="clear"/>
            <w:tcMar>
              <w:top w:type="dxa" w:w="110"/>
              <w:left w:type="dxa" w:w="200"/>
              <w:bottom w:type="dxa" w:w="110"/>
              <w:right w:type="dxa" w:w="160"/>
            </w:tcMar>
          </w:tcPr>
          <w:p>
            <w:pPr>
              <w:spacing w:after="60" w:before="0"/>
            </w:pPr>
            <w:r>
              <w:rPr>
                <w:rFonts w:ascii="Arial" w:cs="Arial" w:eastAsia="Arial" w:hAnsi="Arial"/>
                <w:b/>
                <w:bCs/>
                <w:caps/>
                <w:color w:val="1A5C2A"/>
                <w:sz w:val="19"/>
                <w:szCs w:val="19"/>
              </w:rPr>
              <w:t xml:space="preserve">Layering Example</w:t>
            </w:r>
          </w:p>
          <w:p>
            <w:pPr>
              <w:spacing w:after="0" w:before="0"/>
            </w:pPr>
            <w:r>
              <w:rPr>
                <w:rFonts w:ascii="Arial" w:cs="Arial" w:eastAsia="Arial" w:hAnsi="Arial"/>
                <w:color w:val="1A3A22"/>
                <w:sz w:val="20"/>
                <w:szCs w:val="20"/>
              </w:rPr>
              <w:t xml:space="preserve">Property replacement cost: $750,000. NFIP building limit: $250,000. Excess flood policy limit: $500,000 (attaching at $250,001). Total flood protection: $750,000. If a flood causes $600,000 in building damage: NFIP pays $250,000, the excess flood policy pays $350,000, and the insured is fully protected up to their total coverage tower.</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DB4" w:sz="18"/>
              <w:bottom w:val="none" w:color="FFFFFF" w:sz="0"/>
              <w:right w:val="none" w:color="FFFFFF" w:sz="0"/>
            </w:tcBorders>
            <w:shd w:fill="EBF2FB" w:val="clear"/>
            <w:tcMar>
              <w:top w:type="dxa" w:w="110"/>
              <w:left w:type="dxa" w:w="200"/>
              <w:bottom w:type="dxa" w:w="110"/>
              <w:right w:type="dxa" w:w="160"/>
            </w:tcMar>
          </w:tcPr>
          <w:p>
            <w:pPr>
              <w:spacing w:after="0" w:before="0"/>
            </w:pPr>
            <w:r>
              <w:rPr>
                <w:rFonts w:ascii="Arial" w:cs="Arial" w:eastAsia="Arial" w:hAnsi="Arial"/>
                <w:b/>
                <w:bCs/>
                <w:color w:val="1A4E8A"/>
                <w:sz w:val="20"/>
                <w:szCs w:val="20"/>
              </w:rPr>
              <w:t xml:space="preserve">Key Takeaway: </w:t>
            </w:r>
            <w:r>
              <w:rPr>
                <w:rFonts w:ascii="Arial" w:cs="Arial" w:eastAsia="Arial" w:hAnsi="Arial"/>
                <w:color w:val="3A4E62"/>
                <w:sz w:val="20"/>
                <w:szCs w:val="20"/>
              </w:rPr>
              <w:t xml:space="preserve">Maintaining the NFIP policy in good standing is not optional — it is a contractual requirement of the excess flood policy. Allowing the NFIP policy to lapse can leave you with no flood coverage at all, even if the excess policy remains in force.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7.  </w:t>
            </w:r>
            <w:r>
              <w:rPr>
                <w:rFonts w:ascii="Arial" w:cs="Arial" w:eastAsia="Arial" w:hAnsi="Arial"/>
                <w:b/>
                <w:bCs/>
                <w:color w:val="FFFFFF"/>
                <w:sz w:val="28"/>
                <w:szCs w:val="28"/>
              </w:rPr>
              <w:t xml:space="preserve">How Excess Flood Layers Over Private Primary Flood</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While NFIP is the most common underlying policy for excess flood programs, excess flood coverage can also be structured above a private primary flood insurance policy. This arrangement is increasingly common as the private flood market has grown and many property owners have moved away from NFIP to private primary policies with broader terms and higher limits.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single" w:color="FFFFFF" w:sz="3"/>
              <w:right w:val="none" w:color="FFFFFF" w:sz="0"/>
            </w:tcBorders>
            <w:shd w:fill="1A3A6A"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EXCESS FLOOD POLICY</w:t>
            </w:r>
          </w:p>
          <w:p>
            <w:pPr>
              <w:spacing w:after="0" w:before="0"/>
              <w:jc w:val="center"/>
            </w:pPr>
            <w:r>
              <w:rPr>
                <w:rFonts w:ascii="Arial" w:cs="Arial" w:eastAsia="Arial" w:hAnsi="Arial"/>
                <w:color w:val="A8C4E0"/>
                <w:sz w:val="19"/>
                <w:szCs w:val="19"/>
              </w:rPr>
              <w:t xml:space="preserve">Pays losses above private primary limit — up to excess policy limit</w:t>
            </w:r>
          </w:p>
        </w:tc>
      </w:tr>
      <w:tr>
        <w:tc>
          <w:tcPr>
            <w:tcBorders>
              <w:top w:val="none" w:color="FFFFFF" w:sz="0"/>
              <w:left w:val="none" w:color="FFFFFF" w:sz="0"/>
              <w:bottom w:val="single" w:color="FFFFFF" w:sz="3"/>
              <w:right w:val="none" w:color="FFFFFF" w:sz="0"/>
            </w:tcBorders>
            <w:shd w:fill="2E6DB4"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PRIVATE PRIMARY FLOOD POLICY</w:t>
            </w:r>
          </w:p>
          <w:p>
            <w:pPr>
              <w:spacing w:after="0" w:before="0"/>
              <w:jc w:val="center"/>
            </w:pPr>
            <w:r>
              <w:rPr>
                <w:rFonts w:ascii="Arial" w:cs="Arial" w:eastAsia="Arial" w:hAnsi="Arial"/>
                <w:color w:val="C5D9F0"/>
                <w:sz w:val="19"/>
                <w:szCs w:val="19"/>
              </w:rPr>
              <w:t xml:space="preserve">Pays from dollar one (after deductible) up to private policy limit (often $500K–1M+)</w:t>
            </w:r>
          </w:p>
        </w:tc>
      </w:tr>
      <w:tr>
        <w:tc>
          <w:tcPr>
            <w:tcBorders>
              <w:top w:val="none" w:color="FFFFFF" w:sz="0"/>
              <w:left w:val="none" w:color="FFFFFF" w:sz="0"/>
              <w:bottom w:val="single" w:color="FFFFFF" w:sz="3"/>
              <w:right w:val="none" w:color="FFFFFF" w:sz="0"/>
            </w:tcBorders>
            <w:shd w:fill="3A8CC8"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DEDUCTIBLE (POLICYHOLDER RETENTION)</w:t>
            </w:r>
          </w:p>
          <w:p>
            <w:pPr>
              <w:spacing w:after="0" w:before="0"/>
              <w:jc w:val="center"/>
            </w:pPr>
            <w:r>
              <w:rPr>
                <w:rFonts w:ascii="Arial" w:cs="Arial" w:eastAsia="Arial" w:hAnsi="Arial"/>
                <w:color w:val="D8EAF5"/>
                <w:sz w:val="19"/>
                <w:szCs w:val="19"/>
              </w:rPr>
              <w:t xml:space="preserve">Policyholder absorbs initial loss up to private primary deductible</w:t>
            </w:r>
          </w:p>
        </w:tc>
      </w:tr>
    </w:tbl>
    <w:p>
      <w:pPr>
        <w:spacing w:after="0" w:before="120"/>
      </w:pPr>
      <w:r>
        <w:rPr>
          <w:rFonts w:ascii="Arial" w:cs="Arial" w:eastAsia="Arial" w:hAnsi="Arial"/>
        </w:rPr>
        <w:t xml:space="preserve"/>
      </w:r>
    </w:p>
    <w:p>
      <w:pPr>
        <w:pBdr>
          <w:bottom w:val="single" w:color="C5D9F0" w:sz="4" w:space="4"/>
        </w:pBdr>
        <w:spacing w:after="80" w:before="220"/>
      </w:pPr>
      <w:r>
        <w:rPr>
          <w:rFonts w:ascii="Arial" w:cs="Arial" w:eastAsia="Arial" w:hAnsi="Arial"/>
          <w:b/>
          <w:bCs/>
          <w:color w:val="0A2540"/>
          <w:sz w:val="24"/>
          <w:szCs w:val="24"/>
        </w:rPr>
        <w:t xml:space="preserve">Advantages of Excess Over Private Primary vs. NFIP</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1A4E8A"/>
          <w:sz w:val="22"/>
          <w:szCs w:val="22"/>
        </w:rPr>
        <w:t xml:space="preserve">Higher attachment point flexibility — </w:t>
      </w:r>
      <w:r>
        <w:rPr>
          <w:rFonts w:ascii="Arial" w:cs="Arial" w:eastAsia="Arial" w:hAnsi="Arial"/>
          <w:color w:val="3A4E62"/>
          <w:sz w:val="22"/>
          <w:szCs w:val="22"/>
        </w:rPr>
        <w:t xml:space="preserve">private primary policies can carry higher building limits than NFIP, reducing the amount of excess coverage needed and potentially lowering total program cost</w:t>
      </w:r>
    </w:p>
    <w:p>
      <w:pPr>
        <w:pStyle w:val="ListParagraph"/>
        <w:numPr>
          <w:ilvl w:val="0"/>
          <w:numId w:val="2"/>
        </w:numPr>
        <w:spacing w:after="60" w:before="60"/>
      </w:pPr>
      <w:r>
        <w:rPr>
          <w:rFonts w:ascii="Arial" w:cs="Arial" w:eastAsia="Arial" w:hAnsi="Arial"/>
          <w:b/>
          <w:bCs/>
          <w:color w:val="1A4E8A"/>
          <w:sz w:val="22"/>
          <w:szCs w:val="22"/>
        </w:rPr>
        <w:t xml:space="preserve">Broader base coverage terms — </w:t>
      </w:r>
      <w:r>
        <w:rPr>
          <w:rFonts w:ascii="Arial" w:cs="Arial" w:eastAsia="Arial" w:hAnsi="Arial"/>
          <w:color w:val="3A4E62"/>
          <w:sz w:val="22"/>
          <w:szCs w:val="22"/>
        </w:rPr>
        <w:t xml:space="preserve">private primary policies often cover additional living expenses, replacement cost on contents, and shorter waiting periods — creating a stronger foundation for the excess layer</w:t>
      </w:r>
    </w:p>
    <w:p>
      <w:pPr>
        <w:pStyle w:val="ListParagraph"/>
        <w:numPr>
          <w:ilvl w:val="0"/>
          <w:numId w:val="2"/>
        </w:numPr>
        <w:spacing w:after="60" w:before="60"/>
      </w:pPr>
      <w:r>
        <w:rPr>
          <w:rFonts w:ascii="Arial" w:cs="Arial" w:eastAsia="Arial" w:hAnsi="Arial"/>
          <w:b/>
          <w:bCs/>
          <w:color w:val="1A4E8A"/>
          <w:sz w:val="22"/>
          <w:szCs w:val="22"/>
        </w:rPr>
        <w:t xml:space="preserve">Coordinated policy terms — </w:t>
      </w:r>
      <w:r>
        <w:rPr>
          <w:rFonts w:ascii="Arial" w:cs="Arial" w:eastAsia="Arial" w:hAnsi="Arial"/>
          <w:color w:val="3A4E62"/>
          <w:sz w:val="22"/>
          <w:szCs w:val="22"/>
        </w:rPr>
        <w:t xml:space="preserve">when both the primary and excess policies are from the private market, terms can be more closely aligned, reducing the risk of coverage gaps between layers</w:t>
      </w:r>
    </w:p>
    <w:p>
      <w:pPr>
        <w:pStyle w:val="ListParagraph"/>
        <w:numPr>
          <w:ilvl w:val="0"/>
          <w:numId w:val="2"/>
        </w:numPr>
        <w:spacing w:after="60" w:before="60"/>
      </w:pPr>
      <w:r>
        <w:rPr>
          <w:rFonts w:ascii="Arial" w:cs="Arial" w:eastAsia="Arial" w:hAnsi="Arial"/>
          <w:b/>
          <w:bCs/>
          <w:color w:val="1A4E8A"/>
          <w:sz w:val="22"/>
          <w:szCs w:val="22"/>
        </w:rPr>
        <w:t xml:space="preserve">Single carrier programs available — </w:t>
      </w:r>
      <w:r>
        <w:rPr>
          <w:rFonts w:ascii="Arial" w:cs="Arial" w:eastAsia="Arial" w:hAnsi="Arial"/>
          <w:color w:val="3A4E62"/>
          <w:sz w:val="22"/>
          <w:szCs w:val="22"/>
        </w:rPr>
        <w:t xml:space="preserve">some specialty insurers offer combined primary-plus-excess flood programs under a single policy, simplifying administration and claims coordination</w:t>
      </w:r>
    </w:p>
    <w:p>
      <w:pPr>
        <w:pStyle w:val="ListParagraph"/>
        <w:numPr>
          <w:ilvl w:val="0"/>
          <w:numId w:val="2"/>
        </w:numPr>
        <w:spacing w:after="60" w:before="60"/>
      </w:pPr>
      <w:r>
        <w:rPr>
          <w:rFonts w:ascii="Arial" w:cs="Arial" w:eastAsia="Arial" w:hAnsi="Arial"/>
          <w:b/>
          <w:bCs/>
          <w:color w:val="1A4E8A"/>
          <w:sz w:val="22"/>
          <w:szCs w:val="22"/>
        </w:rPr>
        <w:t xml:space="preserve">Faster claims resolution — </w:t>
      </w:r>
      <w:r>
        <w:rPr>
          <w:rFonts w:ascii="Arial" w:cs="Arial" w:eastAsia="Arial" w:hAnsi="Arial"/>
          <w:color w:val="3A4E62"/>
          <w:sz w:val="22"/>
          <w:szCs w:val="22"/>
        </w:rPr>
        <w:t xml:space="preserve">private market claims handled without NFIP’s administrative processes may resolve more quickly, benefiting the insured in catastrophic loss situations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00" w:sz="18"/>
              <w:bottom w:val="none" w:color="FFFFFF" w:sz="0"/>
              <w:right w:val="none" w:color="FFFFFF" w:sz="0"/>
            </w:tcBorders>
            <w:shd w:fill="FFFAED" w:val="clear"/>
            <w:tcMar>
              <w:top w:type="dxa" w:w="110"/>
              <w:left w:type="dxa" w:w="200"/>
              <w:bottom w:type="dxa" w:w="110"/>
              <w:right w:type="dxa" w:w="160"/>
            </w:tcMar>
          </w:tcPr>
          <w:p>
            <w:pPr>
              <w:spacing w:after="60" w:before="0"/>
            </w:pPr>
            <w:r>
              <w:rPr>
                <w:rFonts w:ascii="Arial" w:cs="Arial" w:eastAsia="Arial" w:hAnsi="Arial"/>
                <w:b/>
                <w:bCs/>
                <w:caps/>
                <w:color w:val="9A6E00"/>
                <w:sz w:val="19"/>
                <w:szCs w:val="19"/>
              </w:rPr>
              <w:t xml:space="preserve">Underlying Policy Requirements Vary by Excess Carrier</w:t>
            </w:r>
          </w:p>
          <w:p>
            <w:pPr>
              <w:spacing w:after="0" w:before="0"/>
            </w:pPr>
            <w:r>
              <w:rPr>
                <w:rFonts w:ascii="Arial" w:cs="Arial" w:eastAsia="Arial" w:hAnsi="Arial"/>
                <w:color w:val="4A3800"/>
                <w:sz w:val="20"/>
                <w:szCs w:val="20"/>
              </w:rPr>
              <w:t xml:space="preserve">Not all excess flood carriers will accept a private primary policy as the qualifying underlying coverage. Some require NFIP as the primary layer. Always confirm with your excess carrier what types of underlying policies satisfy their attachment point requirements before purchasing.</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DB4" w:sz="18"/>
              <w:bottom w:val="none" w:color="FFFFFF" w:sz="0"/>
              <w:right w:val="none" w:color="FFFFFF" w:sz="0"/>
            </w:tcBorders>
            <w:shd w:fill="EBF2FB" w:val="clear"/>
            <w:tcMar>
              <w:top w:type="dxa" w:w="110"/>
              <w:left w:type="dxa" w:w="200"/>
              <w:bottom w:type="dxa" w:w="110"/>
              <w:right w:type="dxa" w:w="160"/>
            </w:tcMar>
          </w:tcPr>
          <w:p>
            <w:pPr>
              <w:spacing w:after="0" w:before="0"/>
            </w:pPr>
            <w:r>
              <w:rPr>
                <w:rFonts w:ascii="Arial" w:cs="Arial" w:eastAsia="Arial" w:hAnsi="Arial"/>
                <w:b/>
                <w:bCs/>
                <w:color w:val="1A4E8A"/>
                <w:sz w:val="20"/>
                <w:szCs w:val="20"/>
              </w:rPr>
              <w:t xml:space="preserve">Key Takeaway: </w:t>
            </w:r>
            <w:r>
              <w:rPr>
                <w:rFonts w:ascii="Arial" w:cs="Arial" w:eastAsia="Arial" w:hAnsi="Arial"/>
                <w:color w:val="3A4E62"/>
                <w:sz w:val="20"/>
                <w:szCs w:val="20"/>
              </w:rPr>
              <w:t xml:space="preserve">Whether your primary policy is NFIP or private, the excess flood policy’s attachment point must precisely match the primary policy’s maximum limit. Any gap between the primary payout and the excess attachment point becomes uninsured exposure.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8.  </w:t>
            </w:r>
            <w:r>
              <w:rPr>
                <w:rFonts w:ascii="Arial" w:cs="Arial" w:eastAsia="Arial" w:hAnsi="Arial"/>
                <w:b/>
                <w:bCs/>
                <w:color w:val="FFFFFF"/>
                <w:sz w:val="28"/>
                <w:szCs w:val="28"/>
              </w:rPr>
              <w:t xml:space="preserve">Difference Between Excess and Umbrella Flood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The terms “excess” and “umbrella” are sometimes used interchangeably, but in the context of flood insurance they describe meaningfully different coverage structures. Understanding this distinction prevents misaligned expectations and ensures proper program design.</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Excess Flood Coverage</w:t>
            </w:r>
          </w:p>
          <w:p>
            <w:pPr>
              <w:spacing w:after="0" w:before="0"/>
            </w:pPr>
            <w:r>
              <w:rPr>
                <w:rFonts w:ascii="Arial" w:cs="Arial" w:eastAsia="Arial" w:hAnsi="Arial"/>
                <w:color w:val="3A4E62"/>
                <w:sz w:val="20"/>
                <w:szCs w:val="20"/>
              </w:rPr>
              <w:t xml:space="preserve">Provides additional coverage limits above the primary flood policy. It strictly follows the primary policy’s coverage form and only pays after the primary limit is exhausted. It does not broaden coverage — it simply extends the dollar limit.</w:t>
            </w:r>
          </w:p>
        </w:tc>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Umbrella Flood Coverage</w:t>
            </w:r>
          </w:p>
          <w:p>
            <w:pPr>
              <w:spacing w:after="0" w:before="0"/>
            </w:pPr>
            <w:r>
              <w:rPr>
                <w:rFonts w:ascii="Arial" w:cs="Arial" w:eastAsia="Arial" w:hAnsi="Arial"/>
                <w:color w:val="3A4E62"/>
                <w:sz w:val="20"/>
                <w:szCs w:val="20"/>
              </w:rPr>
              <w:t xml:space="preserve">A broader concept that combines excess limits with broader coverage terms. An umbrella flood policy may cover certain losses excluded by the primary policy, effectively dropping down to provide primary-level coverage when the underlying policy does not respond.</w:t>
            </w:r>
          </w:p>
        </w:tc>
      </w:tr>
      <w:tr>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Drop-Down Coverage</w:t>
            </w:r>
          </w:p>
          <w:p>
            <w:pPr>
              <w:spacing w:after="0" w:before="0"/>
            </w:pPr>
            <w:r>
              <w:rPr>
                <w:rFonts w:ascii="Arial" w:cs="Arial" w:eastAsia="Arial" w:hAnsi="Arial"/>
                <w:color w:val="3A4E62"/>
                <w:sz w:val="20"/>
                <w:szCs w:val="20"/>
              </w:rPr>
              <w:t xml:space="preserve">A defining feature of umbrella (but not pure excess) flood policies. If the primary policy excludes a covered flood event, the umbrella drops down to provide coverage from dollar one — subject to a self-insured retention.</w:t>
            </w:r>
          </w:p>
        </w:tc>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Self-Insured Retention</w:t>
            </w:r>
          </w:p>
          <w:p>
            <w:pPr>
              <w:spacing w:after="0" w:before="0"/>
            </w:pPr>
            <w:r>
              <w:rPr>
                <w:rFonts w:ascii="Arial" w:cs="Arial" w:eastAsia="Arial" w:hAnsi="Arial"/>
                <w:color w:val="3A4E62"/>
                <w:sz w:val="20"/>
                <w:szCs w:val="20"/>
              </w:rPr>
              <w:t xml:space="preserve">Umbrella policies typically require the insured to carry a self-insured retention (SIR) — an amount paid out of pocket before the umbrella responds to uncovered losses. Excess policies generally do not require an SIR.</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180"/>
        <w:gridCol w:w="3180"/>
      </w:tblGrid>
      <w:tr>
        <w:tc>
          <w:tcPr>
            <w:tcW w:type="dxa" w:w="3000"/>
            <w:tcBorders>
              <w:top w:val="none" w:color="FFFFFF" w:sz="0"/>
              <w:left w:val="none" w:color="FFFFFF" w:sz="0"/>
              <w:bottom w:val="none" w:color="FFFFFF" w:sz="0"/>
              <w:right w:val="none" w:color="FFFFFF" w:sz="0"/>
            </w:tcBorders>
            <w:shd w:fill="2C3E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80"/>
            <w:tcBorders>
              <w:top w:val="none" w:color="FFFFFF" w:sz="0"/>
              <w:left w:val="none" w:color="FFFFFF" w:sz="0"/>
              <w:bottom w:val="none" w:color="FFFFFF" w:sz="0"/>
              <w:right w:val="none" w:color="FFFFFF" w:sz="0"/>
            </w:tcBorders>
            <w:shd w:fill="2E6DB4"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Excess Flood Policy</w:t>
            </w:r>
          </w:p>
        </w:tc>
        <w:tc>
          <w:tcPr>
            <w:tcW w:type="dxa" w:w="3180"/>
            <w:tcBorders>
              <w:top w:val="none" w:color="FFFFFF" w:sz="0"/>
              <w:left w:val="none" w:color="FFFFFF" w:sz="0"/>
              <w:bottom w:val="none" w:color="FFFFFF" w:sz="0"/>
              <w:right w:val="none" w:color="FFFFFF" w:sz="0"/>
            </w:tcBorders>
            <w:shd w:fill="2E6DB4"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Umbrella Flood Policy</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Coverage position</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Strictly above primary limit</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Above primary; may drop down</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Coverage terms</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Follows primary (follow-form)</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May be broader than primary</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Drop-down provision</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Generally no</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Yes — key feature</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Self-insured retention</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Not typically required</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Usually required for drop-down</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Availability</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More common; surplus lines market</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Less common; specialty market</w:t>
            </w:r>
          </w:p>
        </w:tc>
      </w:tr>
      <w:tr>
        <w:tc>
          <w:tcPr>
            <w:tcW w:type="dxa" w:w="30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Premium</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Generally lower (narrower scope)</w:t>
            </w:r>
          </w:p>
        </w:tc>
        <w:tc>
          <w:tcPr>
            <w:tcW w:type="dxa" w:w="31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Generally higher (broader scope)</w:t>
            </w:r>
          </w:p>
        </w:tc>
      </w:tr>
      <w:tr>
        <w:tc>
          <w:tcPr>
            <w:tcW w:type="dxa" w:w="30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Best for</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Closing the limits gap above NFIP</w:t>
            </w:r>
          </w:p>
        </w:tc>
        <w:tc>
          <w:tcPr>
            <w:tcW w:type="dxa" w:w="31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Broader coverage with gap protection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00" w:sz="18"/>
              <w:bottom w:val="none" w:color="FFFFFF" w:sz="0"/>
              <w:right w:val="none" w:color="FFFFFF" w:sz="0"/>
            </w:tcBorders>
            <w:shd w:fill="FFFAED" w:val="clear"/>
            <w:tcMar>
              <w:top w:type="dxa" w:w="110"/>
              <w:left w:type="dxa" w:w="200"/>
              <w:bottom w:type="dxa" w:w="110"/>
              <w:right w:type="dxa" w:w="160"/>
            </w:tcMar>
          </w:tcPr>
          <w:p>
            <w:pPr>
              <w:spacing w:after="60" w:before="0"/>
            </w:pPr>
            <w:r>
              <w:rPr>
                <w:rFonts w:ascii="Arial" w:cs="Arial" w:eastAsia="Arial" w:hAnsi="Arial"/>
                <w:b/>
                <w:bCs/>
                <w:caps/>
                <w:color w:val="9A6E00"/>
                <w:sz w:val="19"/>
                <w:szCs w:val="19"/>
              </w:rPr>
              <w:t xml:space="preserve">Terminology in the Market</w:t>
            </w:r>
          </w:p>
          <w:p>
            <w:pPr>
              <w:spacing w:after="0" w:before="0"/>
            </w:pPr>
            <w:r>
              <w:rPr>
                <w:rFonts w:ascii="Arial" w:cs="Arial" w:eastAsia="Arial" w:hAnsi="Arial"/>
                <w:color w:val="4A3800"/>
                <w:sz w:val="20"/>
                <w:szCs w:val="20"/>
              </w:rPr>
              <w:t xml:space="preserve">The terms “excess flood” and “umbrella flood” are not always used consistently in the insurance market. Some carriers label their products differently. Always review the actual policy language — particularly the drop-down provisions and SIR requirements — rather than relying on the product name alone.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DB4" w:sz="18"/>
              <w:bottom w:val="none" w:color="FFFFFF" w:sz="0"/>
              <w:right w:val="none" w:color="FFFFFF" w:sz="0"/>
            </w:tcBorders>
            <w:shd w:fill="EBF2FB" w:val="clear"/>
            <w:tcMar>
              <w:top w:type="dxa" w:w="110"/>
              <w:left w:type="dxa" w:w="200"/>
              <w:bottom w:type="dxa" w:w="110"/>
              <w:right w:type="dxa" w:w="160"/>
            </w:tcMar>
          </w:tcPr>
          <w:p>
            <w:pPr>
              <w:spacing w:after="0" w:before="0"/>
            </w:pPr>
            <w:r>
              <w:rPr>
                <w:rFonts w:ascii="Arial" w:cs="Arial" w:eastAsia="Arial" w:hAnsi="Arial"/>
                <w:b/>
                <w:bCs/>
                <w:color w:val="1A4E8A"/>
                <w:sz w:val="20"/>
                <w:szCs w:val="20"/>
              </w:rPr>
              <w:t xml:space="preserve">Key Takeaway: </w:t>
            </w:r>
            <w:r>
              <w:rPr>
                <w:rFonts w:ascii="Arial" w:cs="Arial" w:eastAsia="Arial" w:hAnsi="Arial"/>
                <w:color w:val="3A4E62"/>
                <w:sz w:val="20"/>
                <w:szCs w:val="20"/>
              </w:rPr>
              <w:t xml:space="preserve">For most property owners seeking to close a gap above NFIP limits, a follow-form excess flood policy is the most straightforward and cost-effective solution. Umbrella flood coverage is more appropriate when the primary policy has meaningful coverage gaps that the buyer wants addressed.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9.  </w:t>
            </w:r>
            <w:r>
              <w:rPr>
                <w:rFonts w:ascii="Arial" w:cs="Arial" w:eastAsia="Arial" w:hAnsi="Arial"/>
                <w:b/>
                <w:bCs/>
                <w:color w:val="FFFFFF"/>
                <w:sz w:val="28"/>
                <w:szCs w:val="28"/>
              </w:rPr>
              <w:t xml:space="preserve">Standalone Excess Flood vs. Endorsement</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Excess flood insurance can be obtained in one of two structural forms: as a standalone policy — a separate, independently issued insurance contract — or as an endorsement attached to an existing property insurance policy. Each structure has distinct advantages, limitations, and use cases.</w:t>
      </w:r>
    </w:p>
    <w:p>
      <w:pPr>
        <w:spacing w:after="0" w:before="100"/>
      </w:pPr>
      <w:r>
        <w:rPr>
          <w:rFonts w:ascii="Arial" w:cs="Arial" w:eastAsia="Arial" w:hAnsi="Arial"/>
        </w:rPr>
        <w:t xml:space="preserve"/>
      </w:r>
    </w:p>
    <w:p>
      <w:pPr>
        <w:pBdr>
          <w:bottom w:val="single" w:color="C5D9F0" w:sz="4" w:space="4"/>
        </w:pBdr>
        <w:spacing w:after="80" w:before="220"/>
      </w:pPr>
      <w:r>
        <w:rPr>
          <w:rFonts w:ascii="Arial" w:cs="Arial" w:eastAsia="Arial" w:hAnsi="Arial"/>
          <w:b/>
          <w:bCs/>
          <w:color w:val="0A2540"/>
          <w:sz w:val="24"/>
          <w:szCs w:val="24"/>
        </w:rPr>
        <w:t xml:space="preserve">Standalone Excess Flood Policy</w:t>
      </w:r>
    </w:p>
    <w:p>
      <w:pPr>
        <w:spacing w:after="110" w:before="80"/>
      </w:pPr>
      <w:r>
        <w:rPr>
          <w:rFonts w:ascii="Arial" w:cs="Arial" w:eastAsia="Arial" w:hAnsi="Arial"/>
          <w:color w:val="1A2535"/>
          <w:sz w:val="22"/>
          <w:szCs w:val="22"/>
        </w:rPr>
        <w:t xml:space="preserve">A standalone excess flood policy is an independent insurance contract issued specifically to provide flood coverage above the primary flood layer. It has its own policy number, declarations page, coverage form, and premium. Most excess flood coverage placed in the surplus lines market is structured as a standalone policy.</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Advantages of Standalone</w:t>
            </w:r>
          </w:p>
          <w:p>
            <w:pPr>
              <w:spacing w:after="0" w:before="0"/>
            </w:pPr>
            <w:r>
              <w:rPr>
                <w:rFonts w:ascii="Arial" w:cs="Arial" w:eastAsia="Arial" w:hAnsi="Arial"/>
                <w:color w:val="3A4E62"/>
                <w:sz w:val="20"/>
                <w:szCs w:val="20"/>
              </w:rPr>
              <w:t xml:space="preserve">Clear and independent coverage terms; no ambiguity about what is covered; easier to place with specialist flood underwriters; can be customized to the specific risk; policy limits are clearly defined and separate from other coverages.</w:t>
            </w:r>
          </w:p>
        </w:tc>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Disadvantages of Standalone</w:t>
            </w:r>
          </w:p>
          <w:p>
            <w:pPr>
              <w:spacing w:after="0" w:before="0"/>
            </w:pPr>
            <w:r>
              <w:rPr>
                <w:rFonts w:ascii="Arial" w:cs="Arial" w:eastAsia="Arial" w:hAnsi="Arial"/>
                <w:color w:val="3A4E62"/>
                <w:sz w:val="20"/>
                <w:szCs w:val="20"/>
              </w:rPr>
              <w:t xml:space="preserve">Requires managing a separate policy and renewal; separate premium payment and administrative burden; may require a separate claims process; some lenders may require specific documentation of standalone flood coverage.</w:t>
            </w:r>
          </w:p>
        </w:tc>
      </w:tr>
    </w:tbl>
    <w:p>
      <w:pPr>
        <w:spacing w:after="0" w:before="100"/>
      </w:pPr>
      <w:r>
        <w:rPr>
          <w:rFonts w:ascii="Arial" w:cs="Arial" w:eastAsia="Arial" w:hAnsi="Arial"/>
        </w:rPr>
        <w:t xml:space="preserve"/>
      </w:r>
    </w:p>
    <w:p>
      <w:pPr>
        <w:pBdr>
          <w:bottom w:val="single" w:color="C5D9F0" w:sz="4" w:space="4"/>
        </w:pBdr>
        <w:spacing w:after="80" w:before="220"/>
      </w:pPr>
      <w:r>
        <w:rPr>
          <w:rFonts w:ascii="Arial" w:cs="Arial" w:eastAsia="Arial" w:hAnsi="Arial"/>
          <w:b/>
          <w:bCs/>
          <w:color w:val="0A2540"/>
          <w:sz w:val="24"/>
          <w:szCs w:val="24"/>
        </w:rPr>
        <w:t xml:space="preserve">Excess Flood Endorsement</w:t>
      </w:r>
    </w:p>
    <w:p>
      <w:pPr>
        <w:spacing w:after="110" w:before="80"/>
      </w:pPr>
      <w:r>
        <w:rPr>
          <w:rFonts w:ascii="Arial" w:cs="Arial" w:eastAsia="Arial" w:hAnsi="Arial"/>
          <w:color w:val="1A2535"/>
          <w:sz w:val="22"/>
          <w:szCs w:val="22"/>
        </w:rPr>
        <w:t xml:space="preserve">An endorsement adds excess flood coverage to an existing property insurance policy — such as a homeowners, commercial property, or dwelling fire policy. The endorsement modifies the base policy to include additional flood limits above the primary layer.</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Advantages of Endorsement</w:t>
            </w:r>
          </w:p>
          <w:p>
            <w:pPr>
              <w:spacing w:after="0" w:before="0"/>
            </w:pPr>
            <w:r>
              <w:rPr>
                <w:rFonts w:ascii="Arial" w:cs="Arial" w:eastAsia="Arial" w:hAnsi="Arial"/>
                <w:color w:val="3A4E62"/>
                <w:sz w:val="20"/>
                <w:szCs w:val="20"/>
              </w:rPr>
              <w:t xml:space="preserve">Simplified administration — one policy to manage; single premium and renewal; claims handled through one carrier; may be more convenient for standard residential properties with straightforward flood exposure.</w:t>
            </w:r>
          </w:p>
        </w:tc>
        <w:tc>
          <w:tcPr>
            <w:tcW w:type="dxa" w:w="4620"/>
            <w:tcBorders>
              <w:top w:val="single" w:color="C8D8EA" w:sz="1"/>
              <w:left w:val="single" w:color="C8D8EA" w:sz="1"/>
              <w:bottom w:val="single" w:color="C8D8EA" w:sz="1"/>
              <w:right w:val="single" w:color="C8D8EA" w:sz="1"/>
            </w:tcBorders>
            <w:shd w:fill="F4F6FA" w:val="clear"/>
            <w:tcMar>
              <w:top w:type="dxa" w:w="110"/>
              <w:left w:type="dxa" w:w="160"/>
              <w:bottom w:type="dxa" w:w="110"/>
              <w:right w:type="dxa" w:w="160"/>
            </w:tcMar>
          </w:tcPr>
          <w:p>
            <w:pPr>
              <w:spacing w:after="60" w:before="0"/>
            </w:pPr>
            <w:r>
              <w:rPr>
                <w:rFonts w:ascii="Arial" w:cs="Arial" w:eastAsia="Arial" w:hAnsi="Arial"/>
                <w:b/>
                <w:bCs/>
                <w:color w:val="2E6DB4"/>
                <w:sz w:val="19"/>
                <w:szCs w:val="19"/>
              </w:rPr>
              <w:t xml:space="preserve">Disadvantages of Endorsement</w:t>
            </w:r>
          </w:p>
          <w:p>
            <w:pPr>
              <w:spacing w:after="0" w:before="0"/>
            </w:pPr>
            <w:r>
              <w:rPr>
                <w:rFonts w:ascii="Arial" w:cs="Arial" w:eastAsia="Arial" w:hAnsi="Arial"/>
                <w:color w:val="3A4E62"/>
                <w:sz w:val="20"/>
                <w:szCs w:val="20"/>
              </w:rPr>
              <w:t xml:space="preserve">Coverage terms may be constrained by the base policy form; less flexibility to customize flood-specific provisions; not all carriers offer excess flood endorsements; may not be suitable for high-value or complex commercial properties.</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280"/>
        <w:gridCol w:w="3280"/>
      </w:tblGrid>
      <w:tr>
        <w:tc>
          <w:tcPr>
            <w:tcW w:type="dxa" w:w="2800"/>
            <w:tcBorders>
              <w:top w:val="none" w:color="FFFFFF" w:sz="0"/>
              <w:left w:val="none" w:color="FFFFFF" w:sz="0"/>
              <w:bottom w:val="none" w:color="FFFFFF" w:sz="0"/>
              <w:right w:val="none" w:color="FFFFFF" w:sz="0"/>
            </w:tcBorders>
            <w:shd w:fill="2C3E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Factor</w:t>
            </w:r>
          </w:p>
        </w:tc>
        <w:tc>
          <w:tcPr>
            <w:tcW w:type="dxa" w:w="3280"/>
            <w:tcBorders>
              <w:top w:val="none" w:color="FFFFFF" w:sz="0"/>
              <w:left w:val="none" w:color="FFFFFF" w:sz="0"/>
              <w:bottom w:val="none" w:color="FFFFFF" w:sz="0"/>
              <w:right w:val="none" w:color="FFFFFF" w:sz="0"/>
            </w:tcBorders>
            <w:shd w:fill="2E6DB4"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Standalone Policy</w:t>
            </w:r>
          </w:p>
        </w:tc>
        <w:tc>
          <w:tcPr>
            <w:tcW w:type="dxa" w:w="3280"/>
            <w:tcBorders>
              <w:top w:val="none" w:color="FFFFFF" w:sz="0"/>
              <w:left w:val="none" w:color="FFFFFF" w:sz="0"/>
              <w:bottom w:val="none" w:color="FFFFFF" w:sz="0"/>
              <w:right w:val="none" w:color="FFFFFF" w:sz="0"/>
            </w:tcBorders>
            <w:shd w:fill="2E6DB4"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Endorsement to Existing Policy</w:t>
            </w:r>
          </w:p>
        </w:tc>
      </w:tr>
      <w:tr>
        <w:tc>
          <w:tcPr>
            <w:tcW w:type="dxa" w:w="28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Policy structure</w:t>
            </w:r>
          </w:p>
        </w:tc>
        <w:tc>
          <w:tcPr>
            <w:tcW w:type="dxa" w:w="32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Independent contract</w:t>
            </w:r>
          </w:p>
        </w:tc>
        <w:tc>
          <w:tcPr>
            <w:tcW w:type="dxa" w:w="32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Attached to base property policy</w:t>
            </w:r>
          </w:p>
        </w:tc>
      </w:tr>
      <w:tr>
        <w:tc>
          <w:tcPr>
            <w:tcW w:type="dxa" w:w="28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Coverage flexibility</w:t>
            </w:r>
          </w:p>
        </w:tc>
        <w:tc>
          <w:tcPr>
            <w:tcW w:type="dxa" w:w="32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High — custom terms available</w:t>
            </w:r>
          </w:p>
        </w:tc>
        <w:tc>
          <w:tcPr>
            <w:tcW w:type="dxa" w:w="32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Limited by base policy form</w:t>
            </w:r>
          </w:p>
        </w:tc>
      </w:tr>
      <w:tr>
        <w:tc>
          <w:tcPr>
            <w:tcW w:type="dxa" w:w="28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Administration</w:t>
            </w:r>
          </w:p>
        </w:tc>
        <w:tc>
          <w:tcPr>
            <w:tcW w:type="dxa" w:w="32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Separate policy to manage</w:t>
            </w:r>
          </w:p>
        </w:tc>
        <w:tc>
          <w:tcPr>
            <w:tcW w:type="dxa" w:w="32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Unified with existing policy</w:t>
            </w:r>
          </w:p>
        </w:tc>
      </w:tr>
      <w:tr>
        <w:tc>
          <w:tcPr>
            <w:tcW w:type="dxa" w:w="28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Best for</w:t>
            </w:r>
          </w:p>
        </w:tc>
        <w:tc>
          <w:tcPr>
            <w:tcW w:type="dxa" w:w="32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High-value, complex, or commercial risks</w:t>
            </w:r>
          </w:p>
        </w:tc>
        <w:tc>
          <w:tcPr>
            <w:tcW w:type="dxa" w:w="32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Standard residential properties</w:t>
            </w:r>
          </w:p>
        </w:tc>
      </w:tr>
      <w:tr>
        <w:tc>
          <w:tcPr>
            <w:tcW w:type="dxa" w:w="280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Market availability</w:t>
            </w:r>
          </w:p>
        </w:tc>
        <w:tc>
          <w:tcPr>
            <w:tcW w:type="dxa" w:w="32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Surplus lines; specialty carriers</w:t>
            </w:r>
          </w:p>
        </w:tc>
        <w:tc>
          <w:tcPr>
            <w:tcW w:type="dxa" w:w="3280"/>
            <w:tcBorders>
              <w:top w:val="single" w:color="C8D8EA" w:sz="1"/>
              <w:left w:val="single" w:color="C8D8EA" w:sz="1"/>
              <w:bottom w:val="single" w:color="C8D8EA" w:sz="1"/>
              <w:right w:val="single" w:color="C8D8EA"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Select admitted/non-admitted carriers</w:t>
            </w:r>
          </w:p>
        </w:tc>
      </w:tr>
      <w:tr>
        <w:tc>
          <w:tcPr>
            <w:tcW w:type="dxa" w:w="280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bCs/>
                <w:color w:val="1A2535"/>
                <w:sz w:val="20"/>
                <w:szCs w:val="20"/>
              </w:rPr>
              <w:t xml:space="preserve">Claims process</w:t>
            </w:r>
          </w:p>
        </w:tc>
        <w:tc>
          <w:tcPr>
            <w:tcW w:type="dxa" w:w="32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Separate claims with excess carrier</w:t>
            </w:r>
          </w:p>
        </w:tc>
        <w:tc>
          <w:tcPr>
            <w:tcW w:type="dxa" w:w="3280"/>
            <w:tcBorders>
              <w:top w:val="single" w:color="C8D8EA" w:sz="1"/>
              <w:left w:val="single" w:color="C8D8EA" w:sz="1"/>
              <w:bottom w:val="single" w:color="C8D8EA" w:sz="1"/>
              <w:right w:val="single" w:color="C8D8EA" w:sz="1"/>
            </w:tcBorders>
            <w:shd w:fill="F4F6FA" w:val="clear"/>
            <w:tcMar>
              <w:top w:type="dxa" w:w="80"/>
              <w:left w:type="dxa" w:w="160"/>
              <w:bottom w:type="dxa" w:w="80"/>
              <w:right w:type="dxa" w:w="160"/>
            </w:tcMar>
          </w:tcPr>
          <w:p>
            <w:pPr>
              <w:spacing w:after="0" w:before="0"/>
            </w:pPr>
            <w:r>
              <w:rPr>
                <w:rFonts w:ascii="Arial" w:cs="Arial" w:eastAsia="Arial" w:hAnsi="Arial"/>
                <w:b w:val="false"/>
                <w:bCs w:val="false"/>
                <w:color w:val="3A4E62"/>
                <w:sz w:val="20"/>
                <w:szCs w:val="20"/>
              </w:rPr>
              <w:t xml:space="preserve">Through base policy carrier</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DB4" w:sz="18"/>
              <w:bottom w:val="none" w:color="FFFFFF" w:sz="0"/>
              <w:right w:val="none" w:color="FFFFFF" w:sz="0"/>
            </w:tcBorders>
            <w:shd w:fill="EBF2FB" w:val="clear"/>
            <w:tcMar>
              <w:top w:type="dxa" w:w="110"/>
              <w:left w:type="dxa" w:w="200"/>
              <w:bottom w:type="dxa" w:w="110"/>
              <w:right w:type="dxa" w:w="160"/>
            </w:tcMar>
          </w:tcPr>
          <w:p>
            <w:pPr>
              <w:spacing w:after="0" w:before="0"/>
            </w:pPr>
            <w:r>
              <w:rPr>
                <w:rFonts w:ascii="Arial" w:cs="Arial" w:eastAsia="Arial" w:hAnsi="Arial"/>
                <w:b/>
                <w:bCs/>
                <w:color w:val="1A4E8A"/>
                <w:sz w:val="20"/>
                <w:szCs w:val="20"/>
              </w:rPr>
              <w:t xml:space="preserve">Key Takeaway: </w:t>
            </w:r>
            <w:r>
              <w:rPr>
                <w:rFonts w:ascii="Arial" w:cs="Arial" w:eastAsia="Arial" w:hAnsi="Arial"/>
                <w:color w:val="3A4E62"/>
                <w:sz w:val="20"/>
                <w:szCs w:val="20"/>
              </w:rPr>
              <w:t xml:space="preserve">For high-value residential and commercial properties, a standalone excess flood policy is almost always the preferred structure. The additional administrative simplicity of an endorsement rarely justifies the reduction in coverage flexibility for large or complex risks.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160"/>
              <w:left w:type="dxa" w:w="240"/>
              <w:bottom w:type="dxa" w:w="160"/>
              <w:right w:type="dxa" w:w="240"/>
            </w:tcMar>
          </w:tcPr>
          <w:p>
            <w:pPr>
              <w:spacing w:after="0" w:before="0"/>
            </w:pPr>
            <w:r>
              <w:rPr>
                <w:rFonts w:ascii="Arial" w:cs="Arial" w:eastAsia="Arial" w:hAnsi="Arial"/>
                <w:b/>
                <w:bCs/>
                <w:color w:val="C5D9F0"/>
                <w:sz w:val="28"/>
                <w:szCs w:val="28"/>
              </w:rPr>
              <w:t xml:space="preserve">10.  </w:t>
            </w:r>
            <w:r>
              <w:rPr>
                <w:rFonts w:ascii="Arial" w:cs="Arial" w:eastAsia="Arial" w:hAnsi="Arial"/>
                <w:b/>
                <w:bCs/>
                <w:color w:val="FFFFFF"/>
                <w:sz w:val="28"/>
                <w:szCs w:val="28"/>
              </w:rPr>
              <w:t xml:space="preserve">Role of Excess Flood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A2535"/>
          <w:sz w:val="22"/>
          <w:szCs w:val="22"/>
        </w:rPr>
        <w:t xml:space="preserve">Excess flood insurance does not exist in isolation — it is one component of a comprehensive property insurance program. Understanding how excess flood integrates with your other coverages, fills gaps, and interacts with your overall risk management strategy is essential to building a truly complete program.</w:t>
      </w:r>
    </w:p>
    <w:p>
      <w:pPr>
        <w:spacing w:after="0" w:before="100"/>
      </w:pPr>
      <w:r>
        <w:rPr>
          <w:rFonts w:ascii="Arial" w:cs="Arial" w:eastAsia="Arial" w:hAnsi="Arial"/>
        </w:rPr>
        <w:t xml:space="preserve"/>
      </w:r>
    </w:p>
    <w:p>
      <w:pPr>
        <w:pBdr>
          <w:bottom w:val="single" w:color="C5D9F0" w:sz="4" w:space="4"/>
        </w:pBdr>
        <w:spacing w:after="80" w:before="220"/>
      </w:pPr>
      <w:r>
        <w:rPr>
          <w:rFonts w:ascii="Arial" w:cs="Arial" w:eastAsia="Arial" w:hAnsi="Arial"/>
          <w:b/>
          <w:bCs/>
          <w:color w:val="0A2540"/>
          <w:sz w:val="24"/>
          <w:szCs w:val="24"/>
        </w:rPr>
        <w:t xml:space="preserve">The Total Flood Protection Stack</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single" w:color="FFFFFF" w:sz="3"/>
              <w:right w:val="none" w:color="FFFFFF" w:sz="0"/>
            </w:tcBorders>
            <w:shd w:fill="0A2540"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PERSONAL UMBRELLA / EXCESS LIABILITY</w:t>
            </w:r>
          </w:p>
          <w:p>
            <w:pPr>
              <w:spacing w:after="0" w:before="0"/>
              <w:jc w:val="center"/>
            </w:pPr>
            <w:r>
              <w:rPr>
                <w:rFonts w:ascii="Arial" w:cs="Arial" w:eastAsia="Arial" w:hAnsi="Arial"/>
                <w:color w:val="8AAFCC"/>
                <w:sz w:val="19"/>
                <w:szCs w:val="19"/>
              </w:rPr>
              <w:t xml:space="preserve">Broad liability protection above primary liability limits</w:t>
            </w:r>
          </w:p>
        </w:tc>
      </w:tr>
      <w:tr>
        <w:tc>
          <w:tcPr>
            <w:tcBorders>
              <w:top w:val="none" w:color="FFFFFF" w:sz="0"/>
              <w:left w:val="none" w:color="FFFFFF" w:sz="0"/>
              <w:bottom w:val="single" w:color="FFFFFF" w:sz="3"/>
              <w:right w:val="none" w:color="FFFFFF" w:sz="0"/>
            </w:tcBorders>
            <w:shd w:fill="1A3A6A"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EXCESS FLOOD POLICY</w:t>
            </w:r>
          </w:p>
          <w:p>
            <w:pPr>
              <w:spacing w:after="0" w:before="0"/>
              <w:jc w:val="center"/>
            </w:pPr>
            <w:r>
              <w:rPr>
                <w:rFonts w:ascii="Arial" w:cs="Arial" w:eastAsia="Arial" w:hAnsi="Arial"/>
                <w:color w:val="A8C4E0"/>
                <w:sz w:val="19"/>
                <w:szCs w:val="19"/>
              </w:rPr>
              <w:t xml:space="preserve">Building &amp; contents coverage above primary flood limits</w:t>
            </w:r>
          </w:p>
        </w:tc>
      </w:tr>
      <w:tr>
        <w:tc>
          <w:tcPr>
            <w:tcBorders>
              <w:top w:val="none" w:color="FFFFFF" w:sz="0"/>
              <w:left w:val="none" w:color="FFFFFF" w:sz="0"/>
              <w:bottom w:val="single" w:color="FFFFFF" w:sz="3"/>
              <w:right w:val="none" w:color="FFFFFF" w:sz="0"/>
            </w:tcBorders>
            <w:shd w:fill="2E6DB4"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PRIMARY FLOOD INSURANCE (NFIP or PRIVATE)</w:t>
            </w:r>
          </w:p>
          <w:p>
            <w:pPr>
              <w:spacing w:after="0" w:before="0"/>
              <w:jc w:val="center"/>
            </w:pPr>
            <w:r>
              <w:rPr>
                <w:rFonts w:ascii="Arial" w:cs="Arial" w:eastAsia="Arial" w:hAnsi="Arial"/>
                <w:color w:val="C5D9F0"/>
                <w:sz w:val="19"/>
                <w:szCs w:val="19"/>
              </w:rPr>
              <w:t xml:space="preserve">Foundation flood coverage — building &amp; contents to policy limits</w:t>
            </w:r>
          </w:p>
        </w:tc>
      </w:tr>
      <w:tr>
        <w:tc>
          <w:tcPr>
            <w:tcBorders>
              <w:top w:val="none" w:color="FFFFFF" w:sz="0"/>
              <w:left w:val="none" w:color="FFFFFF" w:sz="0"/>
              <w:bottom w:val="single" w:color="FFFFFF" w:sz="3"/>
              <w:right w:val="none" w:color="FFFFFF" w:sz="0"/>
            </w:tcBorders>
            <w:shd w:fill="3A8CC8" w:val="clear"/>
            <w:tcMar>
              <w:top w:type="dxa" w:w="120"/>
              <w:left w:type="dxa" w:w="240"/>
              <w:bottom w:type="dxa" w:w="120"/>
              <w:right w:type="dxa" w:w="240"/>
            </w:tcMar>
          </w:tcPr>
          <w:p>
            <w:pPr>
              <w:spacing w:after="40" w:before="0"/>
              <w:jc w:val="center"/>
            </w:pPr>
            <w:r>
              <w:rPr>
                <w:rFonts w:ascii="Arial" w:cs="Arial" w:eastAsia="Arial" w:hAnsi="Arial"/>
                <w:b/>
                <w:bCs/>
                <w:color w:val="FFFFFF"/>
                <w:sz w:val="24"/>
                <w:szCs w:val="24"/>
              </w:rPr>
              <w:t xml:space="preserve">HOMEOWNERS / COMMERCIAL PROPERTY POLICY</w:t>
            </w:r>
          </w:p>
          <w:p>
            <w:pPr>
              <w:spacing w:after="0" w:before="0"/>
              <w:jc w:val="center"/>
            </w:pPr>
            <w:r>
              <w:rPr>
                <w:rFonts w:ascii="Arial" w:cs="Arial" w:eastAsia="Arial" w:hAnsi="Arial"/>
                <w:color w:val="D8EAF5"/>
                <w:sz w:val="19"/>
                <w:szCs w:val="19"/>
              </w:rPr>
              <w:t xml:space="preserve">Covers non-flood perils: fire, theft, wind, liability</w:t>
            </w:r>
          </w:p>
        </w:tc>
      </w:tr>
    </w:tbl>
    <w:p>
      <w:pPr>
        <w:spacing w:after="0" w:before="120"/>
      </w:pPr>
      <w:r>
        <w:rPr>
          <w:rFonts w:ascii="Arial" w:cs="Arial" w:eastAsia="Arial" w:hAnsi="Arial"/>
        </w:rPr>
        <w:t xml:space="preserve"/>
      </w:r>
    </w:p>
    <w:p>
      <w:pPr>
        <w:pBdr>
          <w:bottom w:val="single" w:color="C5D9F0" w:sz="4" w:space="4"/>
        </w:pBdr>
        <w:spacing w:after="80" w:before="220"/>
      </w:pPr>
      <w:r>
        <w:rPr>
          <w:rFonts w:ascii="Arial" w:cs="Arial" w:eastAsia="Arial" w:hAnsi="Arial"/>
          <w:b/>
          <w:bCs/>
          <w:color w:val="0A2540"/>
          <w:sz w:val="24"/>
          <w:szCs w:val="24"/>
        </w:rPr>
        <w:t xml:space="preserve">How Excess Flood Coordinates with Other Coverages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1A4E8A"/>
          <w:sz w:val="22"/>
          <w:szCs w:val="22"/>
        </w:rPr>
        <w:t xml:space="preserve">Homeowners policy — </w:t>
      </w:r>
      <w:r>
        <w:rPr>
          <w:rFonts w:ascii="Arial" w:cs="Arial" w:eastAsia="Arial" w:hAnsi="Arial"/>
          <w:color w:val="3A4E62"/>
          <w:sz w:val="22"/>
          <w:szCs w:val="22"/>
        </w:rPr>
        <w:t xml:space="preserve">covers non-flood perils (fire, wind, theft, liability) but explicitly excludes flood. Excess flood does not overlap with homeowners — it fills the flood gap that homeowners leaves unaddressed</w:t>
      </w:r>
    </w:p>
    <w:p>
      <w:pPr>
        <w:pStyle w:val="ListParagraph"/>
        <w:numPr>
          <w:ilvl w:val="0"/>
          <w:numId w:val="2"/>
        </w:numPr>
        <w:spacing w:after="60" w:before="60"/>
      </w:pPr>
      <w:r>
        <w:rPr>
          <w:rFonts w:ascii="Arial" w:cs="Arial" w:eastAsia="Arial" w:hAnsi="Arial"/>
          <w:b/>
          <w:bCs/>
          <w:color w:val="1A4E8A"/>
          <w:sz w:val="22"/>
          <w:szCs w:val="22"/>
        </w:rPr>
        <w:t xml:space="preserve">Primary flood policy — </w:t>
      </w:r>
      <w:r>
        <w:rPr>
          <w:rFonts w:ascii="Arial" w:cs="Arial" w:eastAsia="Arial" w:hAnsi="Arial"/>
          <w:color w:val="3A4E62"/>
          <w:sz w:val="22"/>
          <w:szCs w:val="22"/>
        </w:rPr>
        <w:t xml:space="preserve">the necessary foundation that excess flood sits above. Both must be active and in good standing for the program to work correctly</w:t>
      </w:r>
    </w:p>
    <w:p>
      <w:pPr>
        <w:pStyle w:val="ListParagraph"/>
        <w:numPr>
          <w:ilvl w:val="0"/>
          <w:numId w:val="2"/>
        </w:numPr>
        <w:spacing w:after="60" w:before="60"/>
      </w:pPr>
      <w:r>
        <w:rPr>
          <w:rFonts w:ascii="Arial" w:cs="Arial" w:eastAsia="Arial" w:hAnsi="Arial"/>
          <w:b/>
          <w:bCs/>
          <w:color w:val="1A4E8A"/>
          <w:sz w:val="22"/>
          <w:szCs w:val="22"/>
        </w:rPr>
        <w:t xml:space="preserve">Personal umbrella — </w:t>
      </w:r>
      <w:r>
        <w:rPr>
          <w:rFonts w:ascii="Arial" w:cs="Arial" w:eastAsia="Arial" w:hAnsi="Arial"/>
          <w:color w:val="3A4E62"/>
          <w:sz w:val="22"/>
          <w:szCs w:val="22"/>
        </w:rPr>
        <w:t xml:space="preserve">covers excess personal liability but does not address property flood losses. Umbrella and excess flood are complementary — one addresses liability exposure, the other addresses property flood exposure</w:t>
      </w:r>
    </w:p>
    <w:p>
      <w:pPr>
        <w:pStyle w:val="ListParagraph"/>
        <w:numPr>
          <w:ilvl w:val="0"/>
          <w:numId w:val="2"/>
        </w:numPr>
        <w:spacing w:after="60" w:before="60"/>
      </w:pPr>
      <w:r>
        <w:rPr>
          <w:rFonts w:ascii="Arial" w:cs="Arial" w:eastAsia="Arial" w:hAnsi="Arial"/>
          <w:b/>
          <w:bCs/>
          <w:color w:val="1A4E8A"/>
          <w:sz w:val="22"/>
          <w:szCs w:val="22"/>
        </w:rPr>
        <w:t xml:space="preserve">Flood zone and mortgage — </w:t>
      </w:r>
      <w:r>
        <w:rPr>
          <w:rFonts w:ascii="Arial" w:cs="Arial" w:eastAsia="Arial" w:hAnsi="Arial"/>
          <w:color w:val="3A4E62"/>
          <w:sz w:val="22"/>
          <w:szCs w:val="22"/>
        </w:rPr>
        <w:t xml:space="preserve">lenders who require NFIP coverage as a mortgage condition are increasingly accepting private excess flood programs as a supplement. Confirm with your lender what is required</w:t>
      </w:r>
    </w:p>
    <w:p>
      <w:pPr>
        <w:pStyle w:val="ListParagraph"/>
        <w:numPr>
          <w:ilvl w:val="0"/>
          <w:numId w:val="2"/>
        </w:numPr>
        <w:spacing w:after="60" w:before="60"/>
      </w:pPr>
      <w:r>
        <w:rPr>
          <w:rFonts w:ascii="Arial" w:cs="Arial" w:eastAsia="Arial" w:hAnsi="Arial"/>
          <w:b/>
          <w:bCs/>
          <w:color w:val="1A4E8A"/>
          <w:sz w:val="22"/>
          <w:szCs w:val="22"/>
        </w:rPr>
        <w:t xml:space="preserve">Business interruption — </w:t>
      </w:r>
      <w:r>
        <w:rPr>
          <w:rFonts w:ascii="Arial" w:cs="Arial" w:eastAsia="Arial" w:hAnsi="Arial"/>
          <w:color w:val="3A4E62"/>
          <w:sz w:val="22"/>
          <w:szCs w:val="22"/>
        </w:rPr>
        <w:t xml:space="preserve">for commercial property owners, excess flood coverage may need to be paired with a separate business income / extra expense policy to address income losses during flood-related closures</w:t>
      </w:r>
    </w:p>
    <w:p>
      <w:pPr>
        <w:spacing w:after="0" w:before="100"/>
      </w:pPr>
      <w:r>
        <w:rPr>
          <w:rFonts w:ascii="Arial" w:cs="Arial" w:eastAsia="Arial" w:hAnsi="Arial"/>
        </w:rPr>
        <w:t xml:space="preserve"/>
      </w:r>
    </w:p>
    <w:p>
      <w:pPr>
        <w:pBdr>
          <w:bottom w:val="single" w:color="C5D9F0" w:sz="4" w:space="4"/>
        </w:pBdr>
        <w:spacing w:after="80" w:before="220"/>
      </w:pPr>
      <w:r>
        <w:rPr>
          <w:rFonts w:ascii="Arial" w:cs="Arial" w:eastAsia="Arial" w:hAnsi="Arial"/>
          <w:b/>
          <w:bCs/>
          <w:color w:val="0A2540"/>
          <w:sz w:val="24"/>
          <w:szCs w:val="24"/>
        </w:rPr>
        <w:t xml:space="preserve">Annual Program Review Checklist</w:t>
      </w:r>
    </w:p>
    <w:p>
      <w:pPr>
        <w:spacing w:after="110" w:before="80"/>
      </w:pPr>
      <w:r>
        <w:rPr>
          <w:rFonts w:ascii="Arial" w:cs="Arial" w:eastAsia="Arial" w:hAnsi="Arial"/>
          <w:color w:val="1A2535"/>
          <w:sz w:val="22"/>
          <w:szCs w:val="22"/>
        </w:rPr>
        <w:t xml:space="preserve">An excess flood program should be reviewed annually to ensure it remains adequate as property values, construction costs, and flood risk evolve: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1A4E8A"/>
          <w:sz w:val="22"/>
          <w:szCs w:val="22"/>
        </w:rPr>
        <w:t xml:space="preserve">Review replacement cost estimate — </w:t>
      </w:r>
      <w:r>
        <w:rPr>
          <w:rFonts w:ascii="Arial" w:cs="Arial" w:eastAsia="Arial" w:hAnsi="Arial"/>
          <w:color w:val="3A4E62"/>
          <w:sz w:val="22"/>
          <w:szCs w:val="22"/>
        </w:rPr>
        <w:t xml:space="preserve">ensure your primary and excess limits combined equal or exceed the current replacement cost of your property</w:t>
      </w:r>
    </w:p>
    <w:p>
      <w:pPr>
        <w:pStyle w:val="ListParagraph"/>
        <w:numPr>
          <w:ilvl w:val="0"/>
          <w:numId w:val="2"/>
        </w:numPr>
        <w:spacing w:after="60" w:before="60"/>
      </w:pPr>
      <w:r>
        <w:rPr>
          <w:rFonts w:ascii="Arial" w:cs="Arial" w:eastAsia="Arial" w:hAnsi="Arial"/>
          <w:b/>
          <w:bCs/>
          <w:color w:val="1A4E8A"/>
          <w:sz w:val="22"/>
          <w:szCs w:val="22"/>
        </w:rPr>
        <w:t xml:space="preserve">Confirm primary policy is active — </w:t>
      </w:r>
      <w:r>
        <w:rPr>
          <w:rFonts w:ascii="Arial" w:cs="Arial" w:eastAsia="Arial" w:hAnsi="Arial"/>
          <w:color w:val="3A4E62"/>
          <w:sz w:val="22"/>
          <w:szCs w:val="22"/>
        </w:rPr>
        <w:t xml:space="preserve">verify your NFIP or private primary flood policy is current and that the excess policy attachment point matches the primary limit</w:t>
      </w:r>
    </w:p>
    <w:p>
      <w:pPr>
        <w:pStyle w:val="ListParagraph"/>
        <w:numPr>
          <w:ilvl w:val="0"/>
          <w:numId w:val="2"/>
        </w:numPr>
        <w:spacing w:after="60" w:before="60"/>
      </w:pPr>
      <w:r>
        <w:rPr>
          <w:rFonts w:ascii="Arial" w:cs="Arial" w:eastAsia="Arial" w:hAnsi="Arial"/>
          <w:b/>
          <w:bCs/>
          <w:color w:val="1A4E8A"/>
          <w:sz w:val="22"/>
          <w:szCs w:val="22"/>
        </w:rPr>
        <w:t xml:space="preserve">Assess changes in flood risk — </w:t>
      </w:r>
      <w:r>
        <w:rPr>
          <w:rFonts w:ascii="Arial" w:cs="Arial" w:eastAsia="Arial" w:hAnsi="Arial"/>
          <w:color w:val="3A4E62"/>
          <w:sz w:val="22"/>
          <w:szCs w:val="22"/>
        </w:rPr>
        <w:t xml:space="preserve">check FEMA flood map updates, upstream development changes, and climate trend data that may affect your property’s flood exposure</w:t>
      </w:r>
    </w:p>
    <w:p>
      <w:pPr>
        <w:pStyle w:val="ListParagraph"/>
        <w:numPr>
          <w:ilvl w:val="0"/>
          <w:numId w:val="2"/>
        </w:numPr>
        <w:spacing w:after="60" w:before="60"/>
      </w:pPr>
      <w:r>
        <w:rPr>
          <w:rFonts w:ascii="Arial" w:cs="Arial" w:eastAsia="Arial" w:hAnsi="Arial"/>
          <w:b/>
          <w:bCs/>
          <w:color w:val="1A4E8A"/>
          <w:sz w:val="22"/>
          <w:szCs w:val="22"/>
        </w:rPr>
        <w:t xml:space="preserve">Evaluate ALE and income needs — </w:t>
      </w:r>
      <w:r>
        <w:rPr>
          <w:rFonts w:ascii="Arial" w:cs="Arial" w:eastAsia="Arial" w:hAnsi="Arial"/>
          <w:color w:val="3A4E62"/>
          <w:sz w:val="22"/>
          <w:szCs w:val="22"/>
        </w:rPr>
        <w:t xml:space="preserve">confirm whether your excess policy includes or can be endorsed to add additional living expenses or business income coverage</w:t>
      </w:r>
    </w:p>
    <w:p>
      <w:pPr>
        <w:pStyle w:val="ListParagraph"/>
        <w:numPr>
          <w:ilvl w:val="0"/>
          <w:numId w:val="2"/>
        </w:numPr>
        <w:spacing w:after="60" w:before="60"/>
      </w:pPr>
      <w:r>
        <w:rPr>
          <w:rFonts w:ascii="Arial" w:cs="Arial" w:eastAsia="Arial" w:hAnsi="Arial"/>
          <w:b/>
          <w:bCs/>
          <w:color w:val="1A4E8A"/>
          <w:sz w:val="22"/>
          <w:szCs w:val="22"/>
        </w:rPr>
        <w:t xml:space="preserve">Review contents coverage — </w:t>
      </w:r>
      <w:r>
        <w:rPr>
          <w:rFonts w:ascii="Arial" w:cs="Arial" w:eastAsia="Arial" w:hAnsi="Arial"/>
          <w:color w:val="3A4E62"/>
          <w:sz w:val="22"/>
          <w:szCs w:val="22"/>
        </w:rPr>
        <w:t xml:space="preserve">assess whether your contents coverage under both primary and excess policies reflects the current value of your personal property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00" w:sz="18"/>
              <w:bottom w:val="none" w:color="FFFFFF" w:sz="0"/>
              <w:right w:val="none" w:color="FFFFFF" w:sz="0"/>
            </w:tcBorders>
            <w:shd w:fill="FFFAED" w:val="clear"/>
            <w:tcMar>
              <w:top w:type="dxa" w:w="110"/>
              <w:left w:type="dxa" w:w="200"/>
              <w:bottom w:type="dxa" w:w="110"/>
              <w:right w:type="dxa" w:w="160"/>
            </w:tcMar>
          </w:tcPr>
          <w:p>
            <w:pPr>
              <w:spacing w:after="60" w:before="0"/>
            </w:pPr>
            <w:r>
              <w:rPr>
                <w:rFonts w:ascii="Arial" w:cs="Arial" w:eastAsia="Arial" w:hAnsi="Arial"/>
                <w:b/>
                <w:bCs/>
                <w:caps/>
                <w:color w:val="9A6E00"/>
                <w:sz w:val="19"/>
                <w:szCs w:val="19"/>
              </w:rPr>
              <w:t xml:space="preserve">Working with a Specialist</w:t>
            </w:r>
          </w:p>
          <w:p>
            <w:pPr>
              <w:spacing w:after="0" w:before="0"/>
            </w:pPr>
            <w:r>
              <w:rPr>
                <w:rFonts w:ascii="Arial" w:cs="Arial" w:eastAsia="Arial" w:hAnsi="Arial"/>
                <w:color w:val="4A3800"/>
                <w:sz w:val="20"/>
                <w:szCs w:val="20"/>
              </w:rPr>
              <w:t xml:space="preserve">Excess flood insurance is a specialty market product. Not all insurance agents have access to surplus lines markets or the expertise to properly structure an excess flood program. Work with a broker who specializes in flood and excess lines coverage to ensure your program is properly designed and competitively priced.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DB4" w:sz="18"/>
              <w:bottom w:val="none" w:color="FFFFFF" w:sz="0"/>
              <w:right w:val="none" w:color="FFFFFF" w:sz="0"/>
            </w:tcBorders>
            <w:shd w:fill="EBF2FB" w:val="clear"/>
            <w:tcMar>
              <w:top w:type="dxa" w:w="110"/>
              <w:left w:type="dxa" w:w="200"/>
              <w:bottom w:type="dxa" w:w="110"/>
              <w:right w:type="dxa" w:w="160"/>
            </w:tcMar>
          </w:tcPr>
          <w:p>
            <w:pPr>
              <w:spacing w:after="0" w:before="0"/>
            </w:pPr>
            <w:r>
              <w:rPr>
                <w:rFonts w:ascii="Arial" w:cs="Arial" w:eastAsia="Arial" w:hAnsi="Arial"/>
                <w:b/>
                <w:bCs/>
                <w:color w:val="1A4E8A"/>
                <w:sz w:val="20"/>
                <w:szCs w:val="20"/>
              </w:rPr>
              <w:t xml:space="preserve">Key Takeaway: </w:t>
            </w:r>
            <w:r>
              <w:rPr>
                <w:rFonts w:ascii="Arial" w:cs="Arial" w:eastAsia="Arial" w:hAnsi="Arial"/>
                <w:color w:val="3A4E62"/>
                <w:sz w:val="20"/>
                <w:szCs w:val="20"/>
              </w:rPr>
              <w:t xml:space="preserve">A well-structured insurance program addresses every layer of flood exposure: the deductible retained by the insured, the primary flood policy layer, and the excess layer above. Leaving any of these layers unaddressed creates an uninsured gap that can be financially devastating in a major flood event.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0A2540"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Close the Gap. Protect the Full Value.</w:t>
            </w:r>
          </w:p>
          <w:p>
            <w:pPr>
              <w:spacing w:after="100" w:before="0"/>
            </w:pPr>
            <w:r>
              <w:rPr>
                <w:rFonts w:ascii="Arial" w:cs="Arial" w:eastAsia="Arial" w:hAnsi="Arial"/>
                <w:color w:val="C5D9F0"/>
                <w:sz w:val="22"/>
                <w:szCs w:val="22"/>
              </w:rPr>
              <w:t xml:space="preserve">The difference between being fully protected and catastrophically underinsured after a major flood event often comes down to one question: do your flood insurance limits match your property’s actual replacement cost? Excess flood insurance is the answer for the millions of property owners who have outgrown NFIP’s limits.</w:t>
            </w:r>
          </w:p>
          <w:p>
            <w:pPr>
              <w:spacing w:after="0" w:before="0"/>
            </w:pPr>
            <w:r>
              <w:rPr>
                <w:rFonts w:ascii="Arial" w:cs="Arial" w:eastAsia="Arial" w:hAnsi="Arial"/>
                <w:b/>
                <w:bCs/>
                <w:color w:val="FFFFFF"/>
                <w:sz w:val="22"/>
                <w:szCs w:val="22"/>
              </w:rPr>
              <w:t xml:space="preserve">Contact Daly &amp; Alexander Insurance to discuss your excess flood options today at www.dalyandalexander.com</w:t>
            </w:r>
          </w:p>
        </w:tc>
      </w:tr>
    </w:tbl>
    <w:p>
      <w:pPr>
        <w:spacing w:after="0" w:before="200"/>
      </w:pPr>
      <w:r>
        <w:rPr>
          <w:rFonts w:ascii="Arial" w:cs="Arial" w:eastAsia="Arial" w:hAnsi="Arial"/>
        </w:rPr>
        <w:t xml:space="preserve"/>
      </w:r>
    </w:p>
    <w:p>
      <w:pPr>
        <w:pBdr>
          <w:top w:val="single" w:color="E2E8F0" w:sz="4" w:space="6"/>
        </w:pBdr>
        <w:spacing w:after="80" w:before="0"/>
      </w:pPr>
      <w:r>
        <w:rPr>
          <w:rFonts w:ascii="Arial" w:cs="Arial" w:eastAsia="Arial" w:hAnsi="Arial"/>
          <w:b/>
          <w:bCs/>
          <w:caps/>
          <w:color w:val="6B7F96"/>
          <w:sz w:val="19"/>
          <w:szCs w:val="19"/>
        </w:rPr>
        <w:t xml:space="preserve">Disclaimer</w:t>
      </w:r>
    </w:p>
    <w:p>
      <w:pPr>
        <w:spacing w:after="120" w:before="0"/>
      </w:pPr>
      <w:r>
        <w:rPr>
          <w:rFonts w:ascii="Arial" w:cs="Arial" w:eastAsia="Arial" w:hAnsi="Arial"/>
          <w:color w:val="6B7F96"/>
          <w:sz w:val="18"/>
          <w:szCs w:val="18"/>
        </w:rPr>
        <w:t xml:space="preserve">The information contained in this article is intended for general informational and educational purposes only and should not be construed as legal, financial, or insurance advice. It is the sole responsibility of the reader to carefully review their individual insurance policy — including all declarations pages, coverage forms, endorsements, exclusions, and conditions — to determine the exact scope of coverage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inaccuracies, or outdated information. Coverage availability, terms, and pricing are subject to underwriting approval and vary by carrier, state, and individual circumstance.</w:t>
      </w:r>
    </w:p>
    <w:p>
      <w:pPr>
        <w:spacing w:after="0" w:before="80"/>
        <w:jc w:val="center"/>
      </w:pPr>
      <w:r>
        <w:rPr>
          <w:rFonts w:ascii="Arial" w:cs="Arial" w:eastAsia="Arial" w:hAnsi="Arial"/>
          <w:i/>
          <w:iCs/>
          <w:color w:val="6B7F96"/>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5D9F0" w:sz="4" w:space="4"/>
      </w:pBdr>
      <w:spacing w:after="0" w:before="0"/>
    </w:pPr>
    <w:r>
      <w:rPr>
        <w:rFonts w:ascii="Arial" w:cs="Arial" w:eastAsia="Arial" w:hAnsi="Arial"/>
        <w:color w:val="6B7F96"/>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5D9F0" w:sz="4" w:space="6"/>
      </w:pBdr>
      <w:spacing w:after="0" w:before="0"/>
    </w:pPr>
    <w:r>
      <w:rPr>
        <w:rFonts w:ascii="Arial" w:cs="Arial" w:eastAsia="Arial" w:hAnsi="Arial"/>
        <w:b/>
        <w:bCs/>
        <w:color w:val="1A4E8A"/>
        <w:sz w:val="18"/>
        <w:szCs w:val="18"/>
      </w:rPr>
      <w:t xml:space="preserve">EXCESS FLOOD INSURANCE GUIDE</w:t>
    </w:r>
    <w:r>
      <w:rPr>
        <w:rFonts w:ascii="Arial" w:cs="Arial" w:eastAsia="Arial" w:hAnsi="Arial"/>
        <w:color w:val="6B7F96"/>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0A2540"/>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6DB4"/>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2026-05-06T03:37:17.676Z</dcterms:created>
  <dcterms:modified xsi:type="dcterms:W3CDTF">2026-05-06T03:37:17.689Z</dcterms:modified>
</cp:coreProperties>
</file>

<file path=docProps/custom.xml><?xml version="1.0" encoding="utf-8"?>
<Properties xmlns="http://schemas.openxmlformats.org/officeDocument/2006/custom-properties" xmlns:vt="http://schemas.openxmlformats.org/officeDocument/2006/docPropsVTypes"/>
</file>