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2A5830" w:sz="8" w:space="8"/>
        </w:pBdr>
        <w:spacing w:after="80" w:before="0"/>
        <w:jc w:val="center"/>
      </w:pPr>
      <w:r>
        <w:rPr>
          <w:rFonts w:ascii="Arial" w:cs="Arial" w:eastAsia="Arial" w:hAnsi="Arial"/>
          <w:b/>
          <w:bCs/>
          <w:color w:val="1A3E20"/>
          <w:sz w:val="52"/>
          <w:szCs w:val="52"/>
        </w:rPr>
        <w:t xml:space="preserve">GOLF CART INSURANCE GUIDE</w:t>
      </w:r>
    </w:p>
    <w:p>
      <w:pPr>
        <w:spacing w:after="60" w:before="120"/>
        <w:jc w:val="center"/>
      </w:pPr>
      <w:r>
        <w:rPr>
          <w:rFonts w:ascii="Arial" w:cs="Arial" w:eastAsia="Arial" w:hAnsi="Arial"/>
          <w:i/>
          <w:iCs/>
          <w:color w:val="28382C"/>
          <w:sz w:val="26"/>
          <w:szCs w:val="26"/>
        </w:rPr>
        <w:t xml:space="preserve">Golf Carts, LSVs, NEVs &amp; Everything Owners Need to Know About Coverage</w:t>
      </w:r>
    </w:p>
    <w:p>
      <w:pPr>
        <w:spacing w:after="0" w:before="0"/>
        <w:jc w:val="center"/>
      </w:pPr>
      <w:r>
        <w:rPr>
          <w:rFonts w:ascii="Arial" w:cs="Arial" w:eastAsia="Arial" w:hAnsi="Arial"/>
          <w:color w:val="607068"/>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5830" w:sz="18"/>
              <w:bottom w:val="none" w:color="FFFFFF" w:sz="0"/>
              <w:right w:val="none" w:color="FFFFFF" w:sz="0"/>
            </w:tcBorders>
            <w:shd w:fill="EAF3EA" w:val="clear"/>
            <w:tcMar>
              <w:top w:type="dxa" w:w="140"/>
              <w:left w:type="dxa" w:w="240"/>
              <w:bottom w:type="dxa" w:w="140"/>
              <w:right w:type="dxa" w:w="240"/>
            </w:tcMar>
          </w:tcPr>
          <w:p>
            <w:pPr>
              <w:spacing w:after="100" w:before="0"/>
            </w:pPr>
            <w:r>
              <w:rPr>
                <w:rFonts w:ascii="Arial" w:cs="Arial" w:eastAsia="Arial" w:hAnsi="Arial"/>
                <w:color w:val="28382C"/>
                <w:sz w:val="22"/>
                <w:szCs w:val="22"/>
              </w:rPr>
              <w:t xml:space="preserve">Golf carts are no longer just for the golf course. From planned retirement communities and resort properties to beachside neighborhoods and sprawling ranches, golf carts and their street-legal cousins — low-speed vehicles and neighborhood electric vehicles — are increasingly common on both private property and public roads. And with increased use comes increased risk that standard auto and homeowners policies simply do not cover.</w:t>
            </w:r>
          </w:p>
          <w:p>
            <w:pPr>
              <w:spacing w:after="0" w:before="0"/>
            </w:pPr>
            <w:r>
              <w:rPr>
                <w:rFonts w:ascii="Arial" w:cs="Arial" w:eastAsia="Arial" w:hAnsi="Arial"/>
                <w:color w:val="28382C"/>
                <w:sz w:val="22"/>
                <w:szCs w:val="22"/>
              </w:rPr>
              <w:t xml:space="preserve">This guide explains what golf cart insurance is, why you need it, and how to choose the right coverage for the way you use your cart.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1.  </w:t>
            </w:r>
            <w:r>
              <w:rPr>
                <w:rFonts w:ascii="Arial" w:cs="Arial" w:eastAsia="Arial" w:hAnsi="Arial"/>
                <w:b/>
                <w:bCs/>
                <w:color w:val="FFFFFF"/>
                <w:sz w:val="28"/>
                <w:szCs w:val="28"/>
              </w:rPr>
              <w:t xml:space="preserve">What Golf Cart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Golf cart insurance is a specialized form of vehicle insurance designed to cover golf carts — and in some cases low-speed vehicles (LSVs) and neighborhood electric vehicles (NEVs) — against liability claims for bodily injury and property damage, as well as physical damage to the cart itself from accidents, theft, and other covered perils. It fills the coverage gaps that both standard auto insurance and homeowners insurance leave open for these increasingly popular vehicles.</w:t>
      </w:r>
    </w:p>
    <w:p>
      <w:pPr>
        <w:spacing w:after="0" w:before="80"/>
      </w:pPr>
      <w:r>
        <w:rPr>
          <w:rFonts w:ascii="Arial" w:cs="Arial" w:eastAsia="Arial" w:hAnsi="Arial"/>
        </w:rPr>
        <w:t xml:space="preserve"/>
      </w:r>
    </w:p>
    <w:p>
      <w:pPr>
        <w:spacing w:after="110" w:before="80"/>
      </w:pPr>
      <w:r>
        <w:rPr>
          <w:rFonts w:ascii="Arial" w:cs="Arial" w:eastAsia="Arial" w:hAnsi="Arial"/>
          <w:color w:val="101E14"/>
          <w:sz w:val="22"/>
          <w:szCs w:val="22"/>
        </w:rPr>
        <w:t xml:space="preserve">Golf carts occupy a unique and often misunderstood position in the insurance market. They are motorized vehicles, but they are typically not classified as automobiles under state auto insurance laws. They are often kept on residential property, but they are excluded from the business and vehicle activity provisions of most homeowners policies. Dedicated golf cart insurance is purpose-built for the specific risk profile of these vehicles — wherever and however they are used.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Liability Coverage</w:t>
            </w:r>
          </w:p>
          <w:p>
            <w:pPr>
              <w:spacing w:after="0" w:before="0"/>
            </w:pPr>
            <w:r>
              <w:rPr>
                <w:rFonts w:ascii="Arial" w:cs="Arial" w:eastAsia="Arial" w:hAnsi="Arial"/>
                <w:color w:val="28382C"/>
                <w:sz w:val="20"/>
                <w:szCs w:val="20"/>
              </w:rPr>
              <w:t xml:space="preserve">Pays for bodily injury and property damage caused by the golf cart or its operator to third parties. If the cart injures a pedestrian, damages another person’s property, or collides with another vehicle, liability coverage pays legal defense costs and damages up to the policy limit.</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Physical Damage Coverage</w:t>
            </w:r>
          </w:p>
          <w:p>
            <w:pPr>
              <w:spacing w:after="0" w:before="0"/>
            </w:pPr>
            <w:r>
              <w:rPr>
                <w:rFonts w:ascii="Arial" w:cs="Arial" w:eastAsia="Arial" w:hAnsi="Arial"/>
                <w:color w:val="28382C"/>
                <w:sz w:val="20"/>
                <w:szCs w:val="20"/>
              </w:rPr>
              <w:t xml:space="preserve">Collision coverage pays for damage to the cart caused by accidents with other vehicles or objects. Comprehensive coverage pays for theft, vandalism, fire, weather damage, and other non-collision perils. Both types of physical damage coverage are important for carts with meaningful value.</w:t>
            </w:r>
          </w:p>
        </w:tc>
      </w:tr>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Medical Payments Coverage</w:t>
            </w:r>
          </w:p>
          <w:p>
            <w:pPr>
              <w:spacing w:after="0" w:before="0"/>
            </w:pPr>
            <w:r>
              <w:rPr>
                <w:rFonts w:ascii="Arial" w:cs="Arial" w:eastAsia="Arial" w:hAnsi="Arial"/>
                <w:color w:val="28382C"/>
                <w:sz w:val="20"/>
                <w:szCs w:val="20"/>
              </w:rPr>
              <w:t xml:space="preserve">Pays for medical expenses for the cart’s occupants after an accident, regardless of fault. Particularly important given that golf carts typically lack the structural protection of an enclosed vehicle and cart occupants are more vulnerable to injury.</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Accessory and Equipment Coverage</w:t>
            </w:r>
          </w:p>
          <w:p>
            <w:pPr>
              <w:spacing w:after="0" w:before="0"/>
            </w:pPr>
            <w:r>
              <w:rPr>
                <w:rFonts w:ascii="Arial" w:cs="Arial" w:eastAsia="Arial" w:hAnsi="Arial"/>
                <w:color w:val="28382C"/>
                <w:sz w:val="20"/>
                <w:szCs w:val="20"/>
              </w:rPr>
              <w:t xml:space="preserve">Covers custom accessories, upgrades, and equipment added to the cart — stereo systems, custom wheels, extended roofs, lift kits, and other modifications. Standard cart values may not reflect the total investment in a heavily customized cart.</w:t>
            </w:r>
          </w:p>
        </w:tc>
      </w:tr>
    </w:tbl>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The Golf Cart Insurance Market</w:t>
      </w:r>
    </w:p>
    <w:p>
      <w:pPr>
        <w:spacing w:after="110" w:before="80"/>
      </w:pPr>
      <w:r>
        <w:rPr>
          <w:rFonts w:ascii="Arial" w:cs="Arial" w:eastAsia="Arial" w:hAnsi="Arial"/>
          <w:color w:val="101E14"/>
          <w:sz w:val="22"/>
          <w:szCs w:val="22"/>
        </w:rPr>
        <w:t xml:space="preserve">Golf cart insurance is available from several specialty insurance carriers, from major personal lines carriers that offer golf cart endorsements or standalone policies, and from golf-specific insurers. Progressive, GEICO, Markel, and several others offer dedicated golf cart insurance programs. Policies are typically available for both recreational and street-legal golf carts, with coverage options that vary based on how and where the cart is used.</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5830" w:sz="18"/>
              <w:bottom w:val="none" w:color="FFFFFF" w:sz="0"/>
              <w:right w:val="none" w:color="FFFFFF" w:sz="0"/>
            </w:tcBorders>
            <w:shd w:fill="EAF3EA" w:val="clear"/>
            <w:tcMar>
              <w:top w:type="dxa" w:w="110"/>
              <w:left w:type="dxa" w:w="200"/>
              <w:bottom w:type="dxa" w:w="110"/>
              <w:right w:type="dxa" w:w="160"/>
            </w:tcMar>
          </w:tcPr>
          <w:p>
            <w:pPr>
              <w:spacing w:after="0" w:before="0"/>
            </w:pPr>
            <w:r>
              <w:rPr>
                <w:rFonts w:ascii="Arial" w:cs="Arial" w:eastAsia="Arial" w:hAnsi="Arial"/>
                <w:b/>
                <w:bCs/>
                <w:color w:val="1A3E20"/>
                <w:sz w:val="20"/>
                <w:szCs w:val="20"/>
              </w:rPr>
              <w:t xml:space="preserve">Key Takeaway: </w:t>
            </w:r>
            <w:r>
              <w:rPr>
                <w:rFonts w:ascii="Arial" w:cs="Arial" w:eastAsia="Arial" w:hAnsi="Arial"/>
                <w:color w:val="28382C"/>
                <w:sz w:val="20"/>
                <w:szCs w:val="20"/>
              </w:rPr>
              <w:t xml:space="preserve">Golf cart insurance is not a luxury coverage for wealthy golfers — it is a financial necessity for anyone who owns a cart of meaningful value, uses a cart in areas where other people could be harmed, or has a cart that operates on or near public roads. The liability exposure from a golf cart accident can far exceed the value of the cart itself.</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2.  </w:t>
            </w:r>
            <w:r>
              <w:rPr>
                <w:rFonts w:ascii="Arial" w:cs="Arial" w:eastAsia="Arial" w:hAnsi="Arial"/>
                <w:b/>
                <w:bCs/>
                <w:color w:val="FFFFFF"/>
                <w:sz w:val="28"/>
                <w:szCs w:val="28"/>
              </w:rPr>
              <w:t xml:space="preserve">Why Standard Auto Insurance Does Not Cover Golf Carts</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Many golf cart owners assume that their standard personal auto insurance policy provides some coverage for their cart, particularly if the cart is used occasionally on a road or driveway. This assumption is almost always wrong. Standard personal auto insurance policies are specifically designed for motor vehicles as defined under state motor vehicle laws — and golf carts are generally not classified as motor vehicles for this purpose.</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The Auto Insurance Exclusion for Golf Carts</w:t>
      </w:r>
    </w:p>
    <w:p>
      <w:pPr>
        <w:spacing w:after="110" w:before="80"/>
      </w:pPr>
      <w:r>
        <w:rPr>
          <w:rFonts w:ascii="Arial" w:cs="Arial" w:eastAsia="Arial" w:hAnsi="Arial"/>
          <w:color w:val="101E14"/>
          <w:sz w:val="22"/>
          <w:szCs w:val="22"/>
        </w:rPr>
        <w:t xml:space="preserve">Standard personal auto policies (using the ISO Personal Auto Policy form) define “your covered auto” as your listed vehicle, a newly acquired vehicle, a non-owned auto, or a temporary substitute vehicle. Golf carts typically do not meet any of these definitions because: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Not a motor vehicle under state law — </w:t>
      </w:r>
      <w:r>
        <w:rPr>
          <w:rFonts w:ascii="Arial" w:cs="Arial" w:eastAsia="Arial" w:hAnsi="Arial"/>
          <w:color w:val="28382C"/>
          <w:sz w:val="22"/>
          <w:szCs w:val="22"/>
        </w:rPr>
        <w:t xml:space="preserve">in most states, standard golf carts are not classified as motor vehicles for purposes of motor vehicle registration and insurance requirements; the auto policy is designed to meet state financial responsibility requirements for motor vehicles — it is not designed to cover non-motor-vehicle conveyances</w:t>
      </w:r>
    </w:p>
    <w:p>
      <w:pPr>
        <w:pStyle w:val="ListParagraph"/>
        <w:numPr>
          <w:ilvl w:val="0"/>
          <w:numId w:val="2"/>
        </w:numPr>
        <w:spacing w:after="60" w:before="60"/>
      </w:pPr>
      <w:r>
        <w:rPr>
          <w:rFonts w:ascii="Arial" w:cs="Arial" w:eastAsia="Arial" w:hAnsi="Arial"/>
          <w:b/>
          <w:bCs/>
          <w:color w:val="2A5830"/>
          <w:sz w:val="22"/>
          <w:szCs w:val="22"/>
        </w:rPr>
        <w:t xml:space="preserve">Not listed on the auto policy — </w:t>
      </w:r>
      <w:r>
        <w:rPr>
          <w:rFonts w:ascii="Arial" w:cs="Arial" w:eastAsia="Arial" w:hAnsi="Arial"/>
          <w:color w:val="28382C"/>
          <w:sz w:val="22"/>
          <w:szCs w:val="22"/>
        </w:rPr>
        <w:t xml:space="preserve">a golf cart that is not listed as a covered vehicle on the auto policy cannot generate a claim under the policy; the auto policy only covers specifically listed vehicles plus temporary substitute vehicles and newly acquired vehicles of the same type</w:t>
      </w:r>
    </w:p>
    <w:p>
      <w:pPr>
        <w:pStyle w:val="ListParagraph"/>
        <w:numPr>
          <w:ilvl w:val="0"/>
          <w:numId w:val="2"/>
        </w:numPr>
        <w:spacing w:after="60" w:before="60"/>
      </w:pPr>
      <w:r>
        <w:rPr>
          <w:rFonts w:ascii="Arial" w:cs="Arial" w:eastAsia="Arial" w:hAnsi="Arial"/>
          <w:b/>
          <w:bCs/>
          <w:color w:val="2A5830"/>
          <w:sz w:val="22"/>
          <w:szCs w:val="22"/>
        </w:rPr>
        <w:t xml:space="preserve">Non-owned auto provision does not apply — </w:t>
      </w:r>
      <w:r>
        <w:rPr>
          <w:rFonts w:ascii="Arial" w:cs="Arial" w:eastAsia="Arial" w:hAnsi="Arial"/>
          <w:color w:val="28382C"/>
          <w:sz w:val="22"/>
          <w:szCs w:val="22"/>
        </w:rPr>
        <w:t xml:space="preserve">the “non-owned auto” provision in personal auto policies covers cars borrowed or rented by the named insured, not golf carts — which are a categorically different type of vehicle</w:t>
      </w:r>
    </w:p>
    <w:p>
      <w:pPr>
        <w:pStyle w:val="ListParagraph"/>
        <w:numPr>
          <w:ilvl w:val="0"/>
          <w:numId w:val="2"/>
        </w:numPr>
        <w:spacing w:after="60" w:before="60"/>
      </w:pPr>
      <w:r>
        <w:rPr>
          <w:rFonts w:ascii="Arial" w:cs="Arial" w:eastAsia="Arial" w:hAnsi="Arial"/>
          <w:b/>
          <w:bCs/>
          <w:color w:val="2A5830"/>
          <w:sz w:val="22"/>
          <w:szCs w:val="22"/>
        </w:rPr>
        <w:t xml:space="preserve">Commercial auto policies also exclude them — </w:t>
      </w:r>
      <w:r>
        <w:rPr>
          <w:rFonts w:ascii="Arial" w:cs="Arial" w:eastAsia="Arial" w:hAnsi="Arial"/>
          <w:color w:val="28382C"/>
          <w:sz w:val="22"/>
          <w:szCs w:val="22"/>
        </w:rPr>
        <w:t xml:space="preserve">commercial auto policies designed for business vehicles similarly exclude golf carts unless the cart is specifically scheduled and classified as a covered vehicle, which is unusual in standard commercial auto programs</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The Exception: Street-Legal LSVs and NEVs</w:t>
      </w:r>
    </w:p>
    <w:p>
      <w:pPr>
        <w:spacing w:after="110" w:before="80"/>
      </w:pPr>
      <w:r>
        <w:rPr>
          <w:rFonts w:ascii="Arial" w:cs="Arial" w:eastAsia="Arial" w:hAnsi="Arial"/>
          <w:color w:val="101E14"/>
          <w:sz w:val="22"/>
          <w:szCs w:val="22"/>
        </w:rPr>
        <w:t xml:space="preserve">Low-speed vehicles (LSVs) and neighborhood electric vehicles (NEVs) that have been properly registered and titled as motor vehicles in states that recognize them as such may qualify for a modified form of auto insurance. However, even registered LSVs often require specialized low-speed vehicle insurance programs rather than standard personal auto policies, because most auto insurers are not equipped to underwrite and rate these vehicles appropriately under their standard personal auto programs.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Never Assume Your Auto Policy Covers Your Golf Cart</w:t>
            </w:r>
          </w:p>
          <w:p>
            <w:pPr>
              <w:spacing w:after="0" w:before="0"/>
            </w:pPr>
            <w:r>
              <w:rPr>
                <w:rFonts w:ascii="Arial" w:cs="Arial" w:eastAsia="Arial" w:hAnsi="Arial"/>
                <w:color w:val="5A1010"/>
                <w:sz w:val="20"/>
                <w:szCs w:val="20"/>
              </w:rPr>
              <w:t xml:space="preserve">Confirming whether your golf cart is covered under any existing insurance policy requires a specific review of the policy language — not an assumption based on common sense or a general understanding of how insurance works. Call your insurance agent and specifically ask about golf cart coverage. Do not operate a golf cart assuming coverage exists unless you have confirmed it in writing.</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3.  </w:t>
            </w:r>
            <w:r>
              <w:rPr>
                <w:rFonts w:ascii="Arial" w:cs="Arial" w:eastAsia="Arial" w:hAnsi="Arial"/>
                <w:b/>
                <w:bCs/>
                <w:color w:val="FFFFFF"/>
                <w:sz w:val="28"/>
                <w:szCs w:val="28"/>
              </w:rPr>
              <w:t xml:space="preserve">Why Homeowners Insurance Has Limited Golf Cart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Standard homeowners insurance policies do provide some limited coverage for golf carts under specific, narrow circumstances — but the coverage is so restricted that most golf cart owners with any meaningful exposure need dedicated golf cart insurance regardless of what their homeowners policy says about carts.</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What the Standard Homeowners Policy Actually Provides</w:t>
      </w:r>
    </w:p>
    <w:p>
      <w:pPr>
        <w:spacing w:after="110" w:before="80"/>
      </w:pPr>
      <w:r>
        <w:rPr>
          <w:rFonts w:ascii="Arial" w:cs="Arial" w:eastAsia="Arial" w:hAnsi="Arial"/>
          <w:color w:val="101E14"/>
          <w:sz w:val="22"/>
          <w:szCs w:val="22"/>
        </w:rPr>
        <w:t xml:space="preserve">Most standard homeowners policies (HO-3 and similar forms) include a motor vehicle exclusion that removes coverage for most motorized vehicle activity. However, many policies include a limited exception for vehicles not subject to motor vehicle registration laws — which golf carts typically are not (unless made street-legal). Under this exception, a golf cart used exclusively on residential premises may receive some limited liability coverage under the homeowners policy.</w:t>
      </w:r>
    </w:p>
    <w:p>
      <w:pPr>
        <w:spacing w:after="0" w:before="80"/>
      </w:pPr>
      <w:r>
        <w:rPr>
          <w:rFonts w:ascii="Arial" w:cs="Arial" w:eastAsia="Arial" w:hAnsi="Arial"/>
        </w:rPr>
        <w:t xml:space="preserve"/>
      </w:r>
    </w:p>
    <w:p>
      <w:pPr>
        <w:spacing w:after="110" w:before="80"/>
      </w:pPr>
      <w:r>
        <w:rPr>
          <w:rFonts w:ascii="Arial" w:cs="Arial" w:eastAsia="Arial" w:hAnsi="Arial"/>
          <w:color w:val="101E14"/>
          <w:sz w:val="22"/>
          <w:szCs w:val="22"/>
        </w:rPr>
        <w:t xml:space="preserve">The typical homeowners golf cart provision includes: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On-premises liability only — </w:t>
      </w:r>
      <w:r>
        <w:rPr>
          <w:rFonts w:ascii="Arial" w:cs="Arial" w:eastAsia="Arial" w:hAnsi="Arial"/>
          <w:color w:val="28382C"/>
          <w:sz w:val="22"/>
          <w:szCs w:val="22"/>
        </w:rPr>
        <w:t xml:space="preserve">the homeowners liability coverage may extend to golf cart incidents that occur on the insured’s own residential property; liability for incidents off the property is typically excluded</w:t>
      </w:r>
    </w:p>
    <w:p>
      <w:pPr>
        <w:pStyle w:val="ListParagraph"/>
        <w:numPr>
          <w:ilvl w:val="0"/>
          <w:numId w:val="2"/>
        </w:numPr>
        <w:spacing w:after="60" w:before="60"/>
      </w:pPr>
      <w:r>
        <w:rPr>
          <w:rFonts w:ascii="Arial" w:cs="Arial" w:eastAsia="Arial" w:hAnsi="Arial"/>
          <w:b/>
          <w:bCs/>
          <w:color w:val="2A5830"/>
          <w:sz w:val="22"/>
          <w:szCs w:val="22"/>
        </w:rPr>
        <w:t xml:space="preserve">Golf course exception — </w:t>
      </w:r>
      <w:r>
        <w:rPr>
          <w:rFonts w:ascii="Arial" w:cs="Arial" w:eastAsia="Arial" w:hAnsi="Arial"/>
          <w:color w:val="28382C"/>
          <w:sz w:val="22"/>
          <w:szCs w:val="22"/>
        </w:rPr>
        <w:t xml:space="preserve">some policies include a specific golf course exception that extends liability coverage to golf cart incidents occurring on a golf course while the cart is being used in the course of play; this is typically limited to traditional golf course use</w:t>
      </w:r>
    </w:p>
    <w:p>
      <w:pPr>
        <w:pStyle w:val="ListParagraph"/>
        <w:numPr>
          <w:ilvl w:val="0"/>
          <w:numId w:val="2"/>
        </w:numPr>
        <w:spacing w:after="60" w:before="60"/>
      </w:pPr>
      <w:r>
        <w:rPr>
          <w:rFonts w:ascii="Arial" w:cs="Arial" w:eastAsia="Arial" w:hAnsi="Arial"/>
          <w:b/>
          <w:bCs/>
          <w:color w:val="2A5830"/>
          <w:sz w:val="22"/>
          <w:szCs w:val="22"/>
        </w:rPr>
        <w:t xml:space="preserve">No physical damage coverage — </w:t>
      </w:r>
      <w:r>
        <w:rPr>
          <w:rFonts w:ascii="Arial" w:cs="Arial" w:eastAsia="Arial" w:hAnsi="Arial"/>
          <w:color w:val="28382C"/>
          <w:sz w:val="22"/>
          <w:szCs w:val="22"/>
        </w:rPr>
        <w:t xml:space="preserve">homeowners policies do not include physical damage (collision or comprehensive) coverage for golf carts; if the cart is damaged or stolen, there is no homeowners coverage to pay for repairs or replacement</w:t>
      </w:r>
    </w:p>
    <w:p>
      <w:pPr>
        <w:pStyle w:val="ListParagraph"/>
        <w:numPr>
          <w:ilvl w:val="0"/>
          <w:numId w:val="2"/>
        </w:numPr>
        <w:spacing w:after="60" w:before="60"/>
      </w:pPr>
      <w:r>
        <w:rPr>
          <w:rFonts w:ascii="Arial" w:cs="Arial" w:eastAsia="Arial" w:hAnsi="Arial"/>
          <w:b/>
          <w:bCs/>
          <w:color w:val="2A5830"/>
          <w:sz w:val="22"/>
          <w:szCs w:val="22"/>
        </w:rPr>
        <w:t xml:space="preserve">Low liability limits — </w:t>
      </w:r>
      <w:r>
        <w:rPr>
          <w:rFonts w:ascii="Arial" w:cs="Arial" w:eastAsia="Arial" w:hAnsi="Arial"/>
          <w:color w:val="28382C"/>
          <w:sz w:val="22"/>
          <w:szCs w:val="22"/>
        </w:rPr>
        <w:t xml:space="preserve">the homeowners liability limit ($100,000–$300,000) is not scaled to the golf cart’s specific risk; there is no specific golf cart liability provision with appropriate limits</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Where Homeowners Coverage Fails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Off-Premises Use</w:t>
            </w:r>
          </w:p>
          <w:p>
            <w:pPr>
              <w:spacing w:after="0" w:before="0"/>
            </w:pPr>
            <w:r>
              <w:rPr>
                <w:rFonts w:ascii="Arial" w:cs="Arial" w:eastAsia="Arial" w:hAnsi="Arial"/>
                <w:color w:val="28382C"/>
                <w:sz w:val="20"/>
                <w:szCs w:val="20"/>
              </w:rPr>
              <w:t xml:space="preserve">Any use of the golf cart away from the insured’s residential property — including on neighborhood streets, in a community, at a resort, or visiting a neighbor — removes the cart from the homeowners policy’s limited on-premises exception and creates a complete coverage gap.</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Community and Gated Developments</w:t>
            </w:r>
          </w:p>
          <w:p>
            <w:pPr>
              <w:spacing w:after="0" w:before="0"/>
            </w:pPr>
            <w:r>
              <w:rPr>
                <w:rFonts w:ascii="Arial" w:cs="Arial" w:eastAsia="Arial" w:hAnsi="Arial"/>
                <w:color w:val="28382C"/>
                <w:sz w:val="20"/>
                <w:szCs w:val="20"/>
              </w:rPr>
              <w:t xml:space="preserve">Golf cart owners in planned communities, retirement villages, or resort developments who drive their carts on community roads, paths, and common areas may have no homeowners coverage for incidents in those areas because they are technically off the homeowner’s own residential property.</w:t>
            </w:r>
          </w:p>
        </w:tc>
      </w:tr>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Theft</w:t>
            </w:r>
          </w:p>
          <w:p>
            <w:pPr>
              <w:spacing w:after="0" w:before="0"/>
            </w:pPr>
            <w:r>
              <w:rPr>
                <w:rFonts w:ascii="Arial" w:cs="Arial" w:eastAsia="Arial" w:hAnsi="Arial"/>
                <w:color w:val="28382C"/>
                <w:sz w:val="20"/>
                <w:szCs w:val="20"/>
              </w:rPr>
              <w:t xml:space="preserve">A golf cart stolen from the garage, the driveway, or a parking lot is not covered under the homeowners policy’s vehicle exclusion. The cart must have dedicated physical damage (comprehensive) coverage to protect against theft.</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Cart Damage</w:t>
            </w:r>
          </w:p>
          <w:p>
            <w:pPr>
              <w:spacing w:after="0" w:before="0"/>
            </w:pPr>
            <w:r>
              <w:rPr>
                <w:rFonts w:ascii="Arial" w:cs="Arial" w:eastAsia="Arial" w:hAnsi="Arial"/>
                <w:color w:val="28382C"/>
                <w:sz w:val="20"/>
                <w:szCs w:val="20"/>
              </w:rPr>
              <w:t xml:space="preserve">Collision damage to the cart — whether from an accident on the golf course, a backing collision in the garage, or a mishap on a community path — is not covered under any homeowners policy provision.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5830" w:sz="18"/>
              <w:bottom w:val="none" w:color="FFFFFF" w:sz="0"/>
              <w:right w:val="none" w:color="FFFFFF" w:sz="0"/>
            </w:tcBorders>
            <w:shd w:fill="EAF3EA" w:val="clear"/>
            <w:tcMar>
              <w:top w:type="dxa" w:w="110"/>
              <w:left w:type="dxa" w:w="200"/>
              <w:bottom w:type="dxa" w:w="110"/>
              <w:right w:type="dxa" w:w="160"/>
            </w:tcMar>
          </w:tcPr>
          <w:p>
            <w:pPr>
              <w:spacing w:after="0" w:before="0"/>
            </w:pPr>
            <w:r>
              <w:rPr>
                <w:rFonts w:ascii="Arial" w:cs="Arial" w:eastAsia="Arial" w:hAnsi="Arial"/>
                <w:b/>
                <w:bCs/>
                <w:color w:val="1A3E20"/>
                <w:sz w:val="20"/>
                <w:szCs w:val="20"/>
              </w:rPr>
              <w:t xml:space="preserve">Key Takeaway: </w:t>
            </w:r>
            <w:r>
              <w:rPr>
                <w:rFonts w:ascii="Arial" w:cs="Arial" w:eastAsia="Arial" w:hAnsi="Arial"/>
                <w:color w:val="28382C"/>
                <w:sz w:val="20"/>
                <w:szCs w:val="20"/>
              </w:rPr>
              <w:t xml:space="preserve">Homeowners insurance’s limited golf cart provision is a narrow exception, not a comprehensive protection. It covers on-premises liability only, provides no physical damage coverage, and creates a complete gap the moment the cart leaves the residential property. Any cart used off-premises — even occasionally — needs dedicated golf cart insurance.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4.  </w:t>
            </w:r>
            <w:r>
              <w:rPr>
                <w:rFonts w:ascii="Arial" w:cs="Arial" w:eastAsia="Arial" w:hAnsi="Arial"/>
                <w:b/>
                <w:bCs/>
                <w:color w:val="FFFFFF"/>
                <w:sz w:val="28"/>
                <w:szCs w:val="28"/>
              </w:rPr>
              <w:t xml:space="preserve">Difference Between Golf Cart and Low-Speed Vehicle (LSV)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The distinction between a golf cart and a low-speed vehicle (LSV) is one of the most important — and most commonly confused — concepts in golf cart insurance. These two vehicle categories have different legal definitions, different equipment requirements, different registration requirements, and different insurance requirements. Using the wrong insurance for either vehicle type creates coverage gaps and potential legal exposure.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none" w:color="FFFFFF" w:sz="0"/>
              <w:left w:val="none" w:color="FFFFFF" w:sz="0"/>
              <w:bottom w:val="none" w:color="FFFFFF" w:sz="0"/>
              <w:right w:val="none" w:color="FFFFFF" w:sz="0"/>
            </w:tcBorders>
            <w:shd w:fill="1A3E20" w:val="clear"/>
            <w:tcMar>
              <w:top w:type="dxa" w:w="100"/>
              <w:left w:type="dxa" w:w="140"/>
              <w:bottom w:type="dxa" w:w="100"/>
              <w:right w:type="dxa" w:w="140"/>
            </w:tcMar>
          </w:tcPr>
          <w:p>
            <w:pPr>
              <w:spacing w:after="0" w:before="0"/>
              <w:jc w:val="center"/>
            </w:pPr>
            <w:r>
              <w:rPr>
                <w:rFonts w:ascii="Arial" w:cs="Arial" w:eastAsia="Arial" w:hAnsi="Arial"/>
                <w:b/>
                <w:bCs/>
                <w:color w:val="FFFFFF"/>
                <w:sz w:val="20"/>
                <w:szCs w:val="20"/>
              </w:rPr>
              <w:t xml:space="preserve">Golf Cart</w:t>
            </w:r>
          </w:p>
        </w:tc>
        <w:tc>
          <w:tcPr>
            <w:tcW w:type="dxa" w:w="3120"/>
            <w:tcBorders>
              <w:top w:val="none" w:color="FFFFFF" w:sz="0"/>
              <w:left w:val="none" w:color="FFFFFF" w:sz="0"/>
              <w:bottom w:val="none" w:color="FFFFFF" w:sz="0"/>
              <w:right w:val="none" w:color="FFFFFF" w:sz="0"/>
            </w:tcBorders>
            <w:shd w:fill="2A5830" w:val="clear"/>
            <w:tcMar>
              <w:top w:type="dxa" w:w="100"/>
              <w:left w:type="dxa" w:w="140"/>
              <w:bottom w:type="dxa" w:w="100"/>
              <w:right w:type="dxa" w:w="140"/>
            </w:tcMar>
          </w:tcPr>
          <w:p>
            <w:pPr>
              <w:spacing w:after="0" w:before="0"/>
              <w:jc w:val="center"/>
            </w:pPr>
            <w:r>
              <w:rPr>
                <w:rFonts w:ascii="Arial" w:cs="Arial" w:eastAsia="Arial" w:hAnsi="Arial"/>
                <w:b/>
                <w:bCs/>
                <w:color w:val="FFFFFF"/>
                <w:sz w:val="20"/>
                <w:szCs w:val="20"/>
              </w:rPr>
              <w:t xml:space="preserve">Low-Speed Vehicle (LSV)</w:t>
            </w:r>
          </w:p>
        </w:tc>
        <w:tc>
          <w:tcPr>
            <w:tcW w:type="dxa" w:w="3120"/>
            <w:tcBorders>
              <w:top w:val="none" w:color="FFFFFF" w:sz="0"/>
              <w:left w:val="none" w:color="FFFFFF" w:sz="0"/>
              <w:bottom w:val="none" w:color="FFFFFF" w:sz="0"/>
              <w:right w:val="none" w:color="FFFFFF" w:sz="0"/>
            </w:tcBorders>
            <w:shd w:fill="1A5070" w:val="clear"/>
            <w:tcMar>
              <w:top w:type="dxa" w:w="100"/>
              <w:left w:type="dxa" w:w="140"/>
              <w:bottom w:type="dxa" w:w="100"/>
              <w:right w:type="dxa" w:w="140"/>
            </w:tcMar>
          </w:tcPr>
          <w:p>
            <w:pPr>
              <w:spacing w:after="0" w:before="0"/>
              <w:jc w:val="center"/>
            </w:pPr>
            <w:r>
              <w:rPr>
                <w:rFonts w:ascii="Arial" w:cs="Arial" w:eastAsia="Arial" w:hAnsi="Arial"/>
                <w:b/>
                <w:bCs/>
                <w:color w:val="FFFFFF"/>
                <w:sz w:val="20"/>
                <w:szCs w:val="20"/>
              </w:rPr>
              <w:t xml:space="preserve">Neighborhood Electric Vehicle (NEV)</w:t>
            </w:r>
          </w:p>
        </w:tc>
      </w:tr>
      <w:tr>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Max speed: up to 20 mph</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Max speed: 20–25 mph</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Max speed: 20–25 mph</w:t>
            </w:r>
          </w:p>
        </w:tc>
      </w:tr>
      <w:tr>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Not street-legal by default</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Street-legal with equipment</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Street-legal; must meet FMVSS 500</w:t>
            </w:r>
          </w:p>
        </w:tc>
      </w:tr>
      <w:tr>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Golf course, private property</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Low-speed public roads (35 mph max)</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Low-speed public roads (35 mph max)</w:t>
            </w:r>
          </w:p>
        </w:tc>
      </w:tr>
      <w:tr>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No VIN required</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VIN required; title and registration</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VIN required; title and registration</w:t>
            </w:r>
          </w:p>
        </w:tc>
      </w:tr>
      <w:tr>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No safety equipment required</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Seat belts, mirrors, lights required</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Same safety standards as LSV</w:t>
            </w:r>
          </w:p>
        </w:tc>
      </w:tr>
      <w:tr>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Golf cart insurance needed</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Auto or LSV insurance required</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Auto or NEV insurance required</w:t>
            </w:r>
          </w:p>
        </w:tc>
      </w:tr>
      <w:tr>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Electric or gas powered</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Electric or low-emission gas</w:t>
            </w:r>
          </w:p>
        </w:tc>
        <w:tc>
          <w:tcPr>
            <w:tcW w:type="dxa" w:w="3120"/>
            <w:tcBorders>
              <w:top w:val="single" w:color="90A898" w:sz="1"/>
              <w:left w:val="single" w:color="90A898" w:sz="1"/>
              <w:bottom w:val="single" w:color="90A898" w:sz="1"/>
              <w:right w:val="single" w:color="90A898" w:sz="1"/>
            </w:tcBorders>
            <w:shd w:fill="FFFFFF"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Electric only (by definition)</w:t>
            </w:r>
          </w:p>
        </w:tc>
      </w:tr>
      <w:tr>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No driver’s license required on course</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Driver’s license required on road</w:t>
            </w:r>
          </w:p>
        </w:tc>
        <w:tc>
          <w:tcPr>
            <w:tcW w:type="dxa" w:w="3120"/>
            <w:tcBorders>
              <w:top w:val="single" w:color="90A898" w:sz="1"/>
              <w:left w:val="single" w:color="90A898" w:sz="1"/>
              <w:bottom w:val="single" w:color="90A898" w:sz="1"/>
              <w:right w:val="single" w:color="90A898" w:sz="1"/>
            </w:tcBorders>
            <w:shd w:fill="EAF3EA" w:val="clear"/>
            <w:tcMar>
              <w:top w:type="dxa" w:w="80"/>
              <w:left w:type="dxa" w:w="140"/>
              <w:bottom w:type="dxa" w:w="80"/>
              <w:right w:type="dxa" w:w="140"/>
            </w:tcMar>
          </w:tcPr>
          <w:p>
            <w:pPr>
              <w:spacing w:after="0" w:before="0"/>
            </w:pPr>
            <w:r>
              <w:rPr>
                <w:rFonts w:ascii="Arial" w:cs="Arial" w:eastAsia="Arial" w:hAnsi="Arial"/>
                <w:color w:val="28382C"/>
                <w:sz w:val="19"/>
                <w:szCs w:val="19"/>
              </w:rPr>
              <w:t xml:space="preserve">Driver’s license required on road</w:t>
            </w:r>
          </w:p>
        </w:tc>
      </w:tr>
    </w:tbl>
    <w:p>
      <w:pPr>
        <w:spacing w:after="0" w:before="12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The Legal Definition of an LSV</w:t>
      </w:r>
    </w:p>
    <w:p>
      <w:pPr>
        <w:spacing w:after="110" w:before="80"/>
      </w:pPr>
      <w:r>
        <w:rPr>
          <w:rFonts w:ascii="Arial" w:cs="Arial" w:eastAsia="Arial" w:hAnsi="Arial"/>
          <w:color w:val="101E14"/>
          <w:sz w:val="22"/>
          <w:szCs w:val="22"/>
        </w:rPr>
        <w:t xml:space="preserve">Under federal law, a low-speed vehicle (LSV) is a four-wheeled motor vehicle whose attainable speed in one mile is more than 20 miles per hour (mph) and not more than 25 mph on a paved level surface, and whose gross vehicle weight rating is less than 3,000 pounds. LSVs must meet Federal Motor Vehicle Safety Standards (FMVSS) 500, which requires headlamps, tail lamps, turn signals, stop lamps, reflectors, a parking brake, rear-view mirrors, a windshield, vehicle identification number (VIN), and safety belts.</w:t>
      </w:r>
    </w:p>
    <w:p>
      <w:pPr>
        <w:spacing w:after="0" w:before="80"/>
      </w:pPr>
      <w:r>
        <w:rPr>
          <w:rFonts w:ascii="Arial" w:cs="Arial" w:eastAsia="Arial" w:hAnsi="Arial"/>
        </w:rPr>
        <w:t xml:space="preserve"/>
      </w:r>
    </w:p>
    <w:p>
      <w:pPr>
        <w:spacing w:after="110" w:before="80"/>
      </w:pPr>
      <w:r>
        <w:rPr>
          <w:rFonts w:ascii="Arial" w:cs="Arial" w:eastAsia="Arial" w:hAnsi="Arial"/>
          <w:color w:val="101E14"/>
          <w:sz w:val="22"/>
          <w:szCs w:val="22"/>
        </w:rPr>
        <w:t xml:space="preserve">A standard golf cart that does not meet these speed and equipment standards is NOT an LSV under federal law, even if it is sometimes described as an “upgraded golf cart.” Adding a stereo system, a custom body, or new seats does not convert a golf cart into an LSV. The speed capability (20–25 mph range) and safety equipment compliance are what legally distinguish the two vehicle types.</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Insurance Implications of the LSV vs. Golf Cart Distinction</w:t>
      </w:r>
    </w:p>
    <w:p>
      <w:pPr>
        <w:spacing w:after="110" w:before="80"/>
      </w:pPr>
      <w:r>
        <w:rPr>
          <w:rFonts w:ascii="Arial" w:cs="Arial" w:eastAsia="Arial" w:hAnsi="Arial"/>
          <w:color w:val="101E14"/>
          <w:sz w:val="22"/>
          <w:szCs w:val="22"/>
        </w:rPr>
        <w:t xml:space="preserve">The insurance implications of the distinction between a golf cart and an LSV are significant:</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Golf carts need dedicated golf cart insurance — </w:t>
      </w:r>
      <w:r>
        <w:rPr>
          <w:rFonts w:ascii="Arial" w:cs="Arial" w:eastAsia="Arial" w:hAnsi="Arial"/>
          <w:color w:val="28382C"/>
          <w:sz w:val="22"/>
          <w:szCs w:val="22"/>
        </w:rPr>
        <w:t xml:space="preserve">a standard golf cart that does not qualify as an LSV needs dedicated golf cart insurance because auto insurance and homeowners insurance both exclude or severely limit coverage for these vehicles</w:t>
      </w:r>
    </w:p>
    <w:p>
      <w:pPr>
        <w:pStyle w:val="ListParagraph"/>
        <w:numPr>
          <w:ilvl w:val="0"/>
          <w:numId w:val="2"/>
        </w:numPr>
        <w:spacing w:after="60" w:before="60"/>
      </w:pPr>
      <w:r>
        <w:rPr>
          <w:rFonts w:ascii="Arial" w:cs="Arial" w:eastAsia="Arial" w:hAnsi="Arial"/>
          <w:b/>
          <w:bCs/>
          <w:color w:val="2A5830"/>
          <w:sz w:val="22"/>
          <w:szCs w:val="22"/>
        </w:rPr>
        <w:t xml:space="preserve">LSVs need auto-equivalent insurance — </w:t>
      </w:r>
      <w:r>
        <w:rPr>
          <w:rFonts w:ascii="Arial" w:cs="Arial" w:eastAsia="Arial" w:hAnsi="Arial"/>
          <w:color w:val="28382C"/>
          <w:sz w:val="22"/>
          <w:szCs w:val="22"/>
        </w:rPr>
        <w:t xml:space="preserve">a properly classified LSV that is registered and titled as a motor vehicle requires insurance that meets state motor vehicle financial responsibility requirements — typically auto-equivalent liability coverage — because it is a legally recognized motor vehicle operating on public roads</w:t>
      </w:r>
    </w:p>
    <w:p>
      <w:pPr>
        <w:pStyle w:val="ListParagraph"/>
        <w:numPr>
          <w:ilvl w:val="0"/>
          <w:numId w:val="2"/>
        </w:numPr>
        <w:spacing w:after="60" w:before="60"/>
      </w:pPr>
      <w:r>
        <w:rPr>
          <w:rFonts w:ascii="Arial" w:cs="Arial" w:eastAsia="Arial" w:hAnsi="Arial"/>
          <w:b/>
          <w:bCs/>
          <w:color w:val="2A5830"/>
          <w:sz w:val="22"/>
          <w:szCs w:val="22"/>
        </w:rPr>
        <w:t xml:space="preserve">Modified carts may be reclassified — </w:t>
      </w:r>
      <w:r>
        <w:rPr>
          <w:rFonts w:ascii="Arial" w:cs="Arial" w:eastAsia="Arial" w:hAnsi="Arial"/>
          <w:color w:val="28382C"/>
          <w:sz w:val="22"/>
          <w:szCs w:val="22"/>
        </w:rPr>
        <w:t xml:space="preserve">a golf cart that has been modified to reach speeds of 20–25 mph, has safety equipment installed, and is registered as an LSV may qualify for — and may be required to have — auto-equivalent LSV insurance rather than golf cart insurance</w:t>
      </w:r>
    </w:p>
    <w:p>
      <w:pPr>
        <w:pStyle w:val="ListParagraph"/>
        <w:numPr>
          <w:ilvl w:val="0"/>
          <w:numId w:val="2"/>
        </w:numPr>
        <w:spacing w:after="60" w:before="60"/>
      </w:pPr>
      <w:r>
        <w:rPr>
          <w:rFonts w:ascii="Arial" w:cs="Arial" w:eastAsia="Arial" w:hAnsi="Arial"/>
          <w:b/>
          <w:bCs/>
          <w:color w:val="2A5830"/>
          <w:sz w:val="22"/>
          <w:szCs w:val="22"/>
        </w:rPr>
        <w:t xml:space="preserve">Registration determines the requirement — </w:t>
      </w:r>
      <w:r>
        <w:rPr>
          <w:rFonts w:ascii="Arial" w:cs="Arial" w:eastAsia="Arial" w:hAnsi="Arial"/>
          <w:color w:val="28382C"/>
          <w:sz w:val="22"/>
          <w:szCs w:val="22"/>
        </w:rPr>
        <w:t xml:space="preserve">if the vehicle has been registered and titled as an LSV with the state motor vehicle authority, it is subject to motor vehicle financial responsibility requirements; if it has not been registered, it is not, and golf cart insurance applies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30" w:sz="18"/>
              <w:bottom w:val="none" w:color="FFFFFF" w:sz="0"/>
              <w:right w:val="none" w:color="FFFFFF" w:sz="0"/>
            </w:tcBorders>
            <w:shd w:fill="FAF6EC" w:val="clear"/>
            <w:tcMar>
              <w:top w:type="dxa" w:w="110"/>
              <w:left w:type="dxa" w:w="200"/>
              <w:bottom w:type="dxa" w:w="110"/>
              <w:right w:type="dxa" w:w="160"/>
            </w:tcMar>
          </w:tcPr>
          <w:p>
            <w:pPr>
              <w:spacing w:after="60" w:before="0"/>
            </w:pPr>
            <w:r>
              <w:rPr>
                <w:rFonts w:ascii="Arial" w:cs="Arial" w:eastAsia="Arial" w:hAnsi="Arial"/>
                <w:b/>
                <w:bCs/>
                <w:caps/>
                <w:color w:val="6A5020"/>
                <w:sz w:val="19"/>
                <w:szCs w:val="19"/>
              </w:rPr>
              <w:t xml:space="preserve">Modified Golf Carts — A Complex Insurance Situation</w:t>
            </w:r>
          </w:p>
          <w:p>
            <w:pPr>
              <w:spacing w:after="0" w:before="0"/>
            </w:pPr>
            <w:r>
              <w:rPr>
                <w:rFonts w:ascii="Arial" w:cs="Arial" w:eastAsia="Arial" w:hAnsi="Arial"/>
                <w:color w:val="4A3000"/>
                <w:sz w:val="20"/>
                <w:szCs w:val="20"/>
              </w:rPr>
              <w:t xml:space="preserve">Many golf cart owners modify their carts with speed upgrades, larger batteries, lift kits, and other enhancements. A modified cart that can now exceed 20 mph may legally be classified as an LSV in some states, which changes both the registration requirement and the insurance requirement. Before significantly modifying a golf cart, confirm how the modification affects the vehicle’s legal classification and insurance requirements in your state.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5.  </w:t>
            </w:r>
            <w:r>
              <w:rPr>
                <w:rFonts w:ascii="Arial" w:cs="Arial" w:eastAsia="Arial" w:hAnsi="Arial"/>
                <w:b/>
                <w:bCs/>
                <w:color w:val="FFFFFF"/>
                <w:sz w:val="28"/>
                <w:szCs w:val="28"/>
              </w:rPr>
              <w:t xml:space="preserve">Golf Cart vs. Neighborhood Electric Vehicle (NEV)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Neighborhood electric vehicles (NEVs) are a specific category of low-speed vehicle that is powered exclusively by electricity. The NEV category was created by the National Highway Traffic Safety Administration (NHTSA) and shares many of the same legal and insurance characteristics as LSVs. Understanding how NEVs differ from both standard golf carts and gasoline-powered LSVs helps NEV owners select the right insurance product.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1E2A3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2A583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Standard Golf Cart</w:t>
            </w:r>
          </w:p>
        </w:tc>
        <w:tc>
          <w:tcPr>
            <w:tcW w:type="dxa" w:w="3330"/>
            <w:tcBorders>
              <w:top w:val="none" w:color="FFFFFF" w:sz="0"/>
              <w:left w:val="none" w:color="FFFFFF" w:sz="0"/>
              <w:bottom w:val="none" w:color="FFFFFF" w:sz="0"/>
              <w:right w:val="none" w:color="FFFFFF" w:sz="0"/>
            </w:tcBorders>
            <w:shd w:fill="2A583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NEV (Neighborhood Electric Vehicle)</w:t>
            </w:r>
          </w:p>
        </w:tc>
      </w:tr>
      <w:tr>
        <w:tc>
          <w:tcPr>
            <w:tcW w:type="dxa" w:w="290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Power source</w:t>
            </w:r>
          </w:p>
        </w:tc>
        <w:tc>
          <w:tcPr>
            <w:tcW w:type="dxa" w:w="31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Electric or gasoline</w:t>
            </w:r>
          </w:p>
        </w:tc>
        <w:tc>
          <w:tcPr>
            <w:tcW w:type="dxa" w:w="33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Electric only (by definition)</w:t>
            </w:r>
          </w:p>
        </w:tc>
      </w:tr>
      <w:tr>
        <w:tc>
          <w:tcPr>
            <w:tcW w:type="dxa" w:w="290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Max legal speed</w:t>
            </w:r>
          </w:p>
        </w:tc>
        <w:tc>
          <w:tcPr>
            <w:tcW w:type="dxa" w:w="31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Up to 20 mph</w:t>
            </w:r>
          </w:p>
        </w:tc>
        <w:tc>
          <w:tcPr>
            <w:tcW w:type="dxa" w:w="33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20–25 mph (FMVSS 500 compliant)</w:t>
            </w:r>
          </w:p>
        </w:tc>
      </w:tr>
      <w:tr>
        <w:tc>
          <w:tcPr>
            <w:tcW w:type="dxa" w:w="290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FMVSS 500 compliance</w:t>
            </w:r>
          </w:p>
        </w:tc>
        <w:tc>
          <w:tcPr>
            <w:tcW w:type="dxa" w:w="31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Not required; not applicable</w:t>
            </w:r>
          </w:p>
        </w:tc>
        <w:tc>
          <w:tcPr>
            <w:tcW w:type="dxa" w:w="33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Required for street-legal operation</w:t>
            </w:r>
          </w:p>
        </w:tc>
      </w:tr>
      <w:tr>
        <w:tc>
          <w:tcPr>
            <w:tcW w:type="dxa" w:w="290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VIN requirement</w:t>
            </w:r>
          </w:p>
        </w:tc>
        <w:tc>
          <w:tcPr>
            <w:tcW w:type="dxa" w:w="31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Not required</w:t>
            </w:r>
          </w:p>
        </w:tc>
        <w:tc>
          <w:tcPr>
            <w:tcW w:type="dxa" w:w="33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Required; must be registered</w:t>
            </w:r>
          </w:p>
        </w:tc>
      </w:tr>
      <w:tr>
        <w:tc>
          <w:tcPr>
            <w:tcW w:type="dxa" w:w="290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Safety equipment required</w:t>
            </w:r>
          </w:p>
        </w:tc>
        <w:tc>
          <w:tcPr>
            <w:tcW w:type="dxa" w:w="31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None required for golf course use</w:t>
            </w:r>
          </w:p>
        </w:tc>
        <w:tc>
          <w:tcPr>
            <w:tcW w:type="dxa" w:w="33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Seat belts, lights, mirrors, windshield required</w:t>
            </w:r>
          </w:p>
        </w:tc>
      </w:tr>
      <w:tr>
        <w:tc>
          <w:tcPr>
            <w:tcW w:type="dxa" w:w="290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Street legal</w:t>
            </w:r>
          </w:p>
        </w:tc>
        <w:tc>
          <w:tcPr>
            <w:tcW w:type="dxa" w:w="31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Not by default; only if state specifically allows</w:t>
            </w:r>
          </w:p>
        </w:tc>
        <w:tc>
          <w:tcPr>
            <w:tcW w:type="dxa" w:w="33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Street-legal in states recognizing NEVs</w:t>
            </w:r>
          </w:p>
        </w:tc>
      </w:tr>
      <w:tr>
        <w:tc>
          <w:tcPr>
            <w:tcW w:type="dxa" w:w="290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Roadways permitted</w:t>
            </w:r>
          </w:p>
        </w:tc>
        <w:tc>
          <w:tcPr>
            <w:tcW w:type="dxa" w:w="31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Private property and designated cart paths</w:t>
            </w:r>
          </w:p>
        </w:tc>
        <w:tc>
          <w:tcPr>
            <w:tcW w:type="dxa" w:w="33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Roads with speed limits of 35 mph or less</w:t>
            </w:r>
          </w:p>
        </w:tc>
      </w:tr>
      <w:tr>
        <w:tc>
          <w:tcPr>
            <w:tcW w:type="dxa" w:w="290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Insurance type needed</w:t>
            </w:r>
          </w:p>
        </w:tc>
        <w:tc>
          <w:tcPr>
            <w:tcW w:type="dxa" w:w="31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Golf cart insurance</w:t>
            </w:r>
          </w:p>
        </w:tc>
        <w:tc>
          <w:tcPr>
            <w:tcW w:type="dxa" w:w="33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Auto-equivalent LSV/NEV insurance</w:t>
            </w:r>
          </w:p>
        </w:tc>
      </w:tr>
      <w:tr>
        <w:tc>
          <w:tcPr>
            <w:tcW w:type="dxa" w:w="290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Driver’s license</w:t>
            </w:r>
          </w:p>
        </w:tc>
        <w:tc>
          <w:tcPr>
            <w:tcW w:type="dxa" w:w="31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Not required on golf course</w:t>
            </w:r>
          </w:p>
        </w:tc>
        <w:tc>
          <w:tcPr>
            <w:tcW w:type="dxa" w:w="3330"/>
            <w:tcBorders>
              <w:top w:val="single" w:color="90A898" w:sz="1"/>
              <w:left w:val="single" w:color="90A898" w:sz="1"/>
              <w:bottom w:val="single" w:color="90A898" w:sz="1"/>
              <w:right w:val="single" w:color="90A89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Required for road operation</w:t>
            </w:r>
          </w:p>
        </w:tc>
      </w:tr>
      <w:tr>
        <w:tc>
          <w:tcPr>
            <w:tcW w:type="dxa" w:w="290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bCs/>
                <w:color w:val="101E14"/>
                <w:sz w:val="20"/>
                <w:szCs w:val="20"/>
              </w:rPr>
              <w:t xml:space="preserve">Charging infrastructure</w:t>
            </w:r>
          </w:p>
        </w:tc>
        <w:tc>
          <w:tcPr>
            <w:tcW w:type="dxa" w:w="31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Home charger or course charger</w:t>
            </w:r>
          </w:p>
        </w:tc>
        <w:tc>
          <w:tcPr>
            <w:tcW w:type="dxa" w:w="3330"/>
            <w:tcBorders>
              <w:top w:val="single" w:color="90A898" w:sz="1"/>
              <w:left w:val="single" w:color="90A898" w:sz="1"/>
              <w:bottom w:val="single" w:color="90A898" w:sz="1"/>
              <w:right w:val="single" w:color="90A898" w:sz="1"/>
            </w:tcBorders>
            <w:shd w:fill="EAF3EA" w:val="clear"/>
            <w:tcMar>
              <w:top w:type="dxa" w:w="80"/>
              <w:left w:type="dxa" w:w="160"/>
              <w:bottom w:type="dxa" w:w="80"/>
              <w:right w:type="dxa" w:w="160"/>
            </w:tcMar>
          </w:tcPr>
          <w:p>
            <w:pPr>
              <w:spacing w:after="0" w:before="0"/>
            </w:pPr>
            <w:r>
              <w:rPr>
                <w:rFonts w:ascii="Arial" w:cs="Arial" w:eastAsia="Arial" w:hAnsi="Arial"/>
                <w:b w:val="false"/>
                <w:bCs w:val="false"/>
                <w:color w:val="28382C"/>
                <w:sz w:val="20"/>
                <w:szCs w:val="20"/>
              </w:rPr>
              <w:t xml:space="preserve">Home charger; range considerations</w:t>
            </w:r>
          </w:p>
        </w:tc>
      </w:tr>
    </w:tbl>
    <w:p>
      <w:pPr>
        <w:spacing w:after="0" w:before="12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NEVs in Planned Communities and Resort Settings</w:t>
      </w:r>
    </w:p>
    <w:p>
      <w:pPr>
        <w:spacing w:after="110" w:before="80"/>
      </w:pPr>
      <w:r>
        <w:rPr>
          <w:rFonts w:ascii="Arial" w:cs="Arial" w:eastAsia="Arial" w:hAnsi="Arial"/>
          <w:color w:val="101E14"/>
          <w:sz w:val="22"/>
          <w:szCs w:val="22"/>
        </w:rPr>
        <w:t xml:space="preserve">NEVs are particularly popular in planned retirement communities (such as The Villages in Florida), resort communities, and master-planned developments that have designated low-speed road networks. In these communities, residents may use NEVs for daily errands, visiting neighbors, and accessing community amenities without ever driving on a public highway.</w:t>
      </w:r>
    </w:p>
    <w:p>
      <w:pPr>
        <w:spacing w:after="0" w:before="80"/>
      </w:pPr>
      <w:r>
        <w:rPr>
          <w:rFonts w:ascii="Arial" w:cs="Arial" w:eastAsia="Arial" w:hAnsi="Arial"/>
        </w:rPr>
        <w:t xml:space="preserve"/>
      </w:r>
    </w:p>
    <w:p>
      <w:pPr>
        <w:spacing w:after="110" w:before="80"/>
      </w:pPr>
      <w:r>
        <w:rPr>
          <w:rFonts w:ascii="Arial" w:cs="Arial" w:eastAsia="Arial" w:hAnsi="Arial"/>
          <w:color w:val="101E14"/>
          <w:sz w:val="22"/>
          <w:szCs w:val="22"/>
        </w:rPr>
        <w:t xml:space="preserve">The insurance requirements for NEVs in planned communities depend on how the community’s road network is classified. Roads within a private master-planned community are often private roads — in which case state motor vehicle insurance requirements may not strictly apply, and golf cart insurance may be adequate. However, if the community roads connect to public streets or if the NEV is ever driven on public roads, auto-equivalent insurance meeting state financial responsibility requirements is necessary.</w:t>
      </w:r>
    </w:p>
    <w:p>
      <w:pPr>
        <w:spacing w:after="0" w:before="80"/>
      </w:pPr>
      <w:r>
        <w:rPr>
          <w:rFonts w:ascii="Arial" w:cs="Arial" w:eastAsia="Arial" w:hAnsi="Arial"/>
        </w:rPr>
        <w:t xml:space="preserve"/>
      </w:r>
    </w:p>
    <w:p>
      <w:pPr>
        <w:spacing w:after="110" w:before="80"/>
      </w:pPr>
      <w:r>
        <w:rPr>
          <w:rFonts w:ascii="Arial" w:cs="Arial" w:eastAsia="Arial" w:hAnsi="Arial"/>
          <w:color w:val="101E14"/>
          <w:sz w:val="22"/>
          <w:szCs w:val="22"/>
        </w:rPr>
        <w:t xml:space="preserve">Many planned communities also require residents who operate NEVs or golf carts on community roads to carry minimum liability insurance as a condition of community rules, regardless of state law requirements. Review the community’s covenants, conditions, and restrictions (CC&amp;Rs) or HOA rules for any insurance requirements applicable to golf cart and NEV operation.</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5830" w:sz="18"/>
              <w:bottom w:val="none" w:color="FFFFFF" w:sz="0"/>
              <w:right w:val="none" w:color="FFFFFF" w:sz="0"/>
            </w:tcBorders>
            <w:shd w:fill="EAF3EA" w:val="clear"/>
            <w:tcMar>
              <w:top w:type="dxa" w:w="110"/>
              <w:left w:type="dxa" w:w="200"/>
              <w:bottom w:type="dxa" w:w="110"/>
              <w:right w:type="dxa" w:w="160"/>
            </w:tcMar>
          </w:tcPr>
          <w:p>
            <w:pPr>
              <w:spacing w:after="0" w:before="0"/>
            </w:pPr>
            <w:r>
              <w:rPr>
                <w:rFonts w:ascii="Arial" w:cs="Arial" w:eastAsia="Arial" w:hAnsi="Arial"/>
                <w:b/>
                <w:bCs/>
                <w:color w:val="1A3E20"/>
                <w:sz w:val="20"/>
                <w:szCs w:val="20"/>
              </w:rPr>
              <w:t xml:space="preserve">Key Takeaway: </w:t>
            </w:r>
            <w:r>
              <w:rPr>
                <w:rFonts w:ascii="Arial" w:cs="Arial" w:eastAsia="Arial" w:hAnsi="Arial"/>
                <w:color w:val="28382C"/>
                <w:sz w:val="20"/>
                <w:szCs w:val="20"/>
              </w:rPr>
              <w:t xml:space="preserve">The key practical distinction between golf cart and NEV insurance is the same as the distinction between golf cart and LSV insurance: registration status. If the vehicle is registered as a motor vehicle with the state, auto-equivalent insurance is required. If it is not registered, golf cart insurance addresses the exposure. Confirm registration status before selecting an insurance product.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6.  </w:t>
            </w:r>
            <w:r>
              <w:rPr>
                <w:rFonts w:ascii="Arial" w:cs="Arial" w:eastAsia="Arial" w:hAnsi="Arial"/>
                <w:b/>
                <w:bCs/>
                <w:color w:val="FFFFFF"/>
                <w:sz w:val="28"/>
                <w:szCs w:val="28"/>
              </w:rPr>
              <w:t xml:space="preserve">Who Needs Dedicated Golf Cart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The answer to who needs dedicated golf cart insurance is straightforward: any golf cart owner whose cart has meaningful financial value, is used in areas where third parties could be injured, or is taken off the owner’s private residential property. Given that modern golf carts routinely sell for $8,000 to $25,000 or more, and given the broad range of settings where golf carts are now used, this encompasses the vast majority of golf cart owners.</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Who Clearly Needs Dedicated Golf Cart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Recreational golfers — </w:t>
      </w:r>
      <w:r>
        <w:rPr>
          <w:rFonts w:ascii="Arial" w:cs="Arial" w:eastAsia="Arial" w:hAnsi="Arial"/>
          <w:color w:val="28382C"/>
          <w:sz w:val="22"/>
          <w:szCs w:val="22"/>
        </w:rPr>
        <w:t xml:space="preserve">golfers who own their own carts and bring them to the course face liability for cart-related incidents during play; many golf courses require proof of insurance for personally-owned carts brought to the course; course accidents — collisions with other carts, injuries from errant cart movements — generate real liability claims</w:t>
      </w:r>
    </w:p>
    <w:p>
      <w:pPr>
        <w:pStyle w:val="ListParagraph"/>
        <w:numPr>
          <w:ilvl w:val="0"/>
          <w:numId w:val="2"/>
        </w:numPr>
        <w:spacing w:after="60" w:before="60"/>
      </w:pPr>
      <w:r>
        <w:rPr>
          <w:rFonts w:ascii="Arial" w:cs="Arial" w:eastAsia="Arial" w:hAnsi="Arial"/>
          <w:b/>
          <w:bCs/>
          <w:color w:val="2A5830"/>
          <w:sz w:val="22"/>
          <w:szCs w:val="22"/>
        </w:rPr>
        <w:t xml:space="preserve">Planned community residents — </w:t>
      </w:r>
      <w:r>
        <w:rPr>
          <w:rFonts w:ascii="Arial" w:cs="Arial" w:eastAsia="Arial" w:hAnsi="Arial"/>
          <w:color w:val="28382C"/>
          <w:sz w:val="22"/>
          <w:szCs w:val="22"/>
        </w:rPr>
        <w:t xml:space="preserve">residents of retirement communities, resort communities, and master-planned developments who use golf carts for daily transportation on community roads face the same liability risks as any vehicle operator; the community may also require coverage as a condition of residency or community rules</w:t>
      </w:r>
    </w:p>
    <w:p>
      <w:pPr>
        <w:pStyle w:val="ListParagraph"/>
        <w:numPr>
          <w:ilvl w:val="0"/>
          <w:numId w:val="2"/>
        </w:numPr>
        <w:spacing w:after="60" w:before="60"/>
      </w:pPr>
      <w:r>
        <w:rPr>
          <w:rFonts w:ascii="Arial" w:cs="Arial" w:eastAsia="Arial" w:hAnsi="Arial"/>
          <w:b/>
          <w:bCs/>
          <w:color w:val="2A5830"/>
          <w:sz w:val="22"/>
          <w:szCs w:val="22"/>
        </w:rPr>
        <w:t xml:space="preserve">Private property users — </w:t>
      </w:r>
      <w:r>
        <w:rPr>
          <w:rFonts w:ascii="Arial" w:cs="Arial" w:eastAsia="Arial" w:hAnsi="Arial"/>
          <w:color w:val="28382C"/>
          <w:sz w:val="22"/>
          <w:szCs w:val="22"/>
        </w:rPr>
        <w:t xml:space="preserve">landowners who use golf carts on their own farms, ranches, estates, or large private properties for work or recreation face liability for guest or worker injuries and need physical damage coverage for the cart itself</w:t>
      </w:r>
    </w:p>
    <w:p>
      <w:pPr>
        <w:pStyle w:val="ListParagraph"/>
        <w:numPr>
          <w:ilvl w:val="0"/>
          <w:numId w:val="2"/>
        </w:numPr>
        <w:spacing w:after="60" w:before="60"/>
      </w:pPr>
      <w:r>
        <w:rPr>
          <w:rFonts w:ascii="Arial" w:cs="Arial" w:eastAsia="Arial" w:hAnsi="Arial"/>
          <w:b/>
          <w:bCs/>
          <w:color w:val="2A5830"/>
          <w:sz w:val="22"/>
          <w:szCs w:val="22"/>
        </w:rPr>
        <w:t xml:space="preserve">Vacation and resort property owners — </w:t>
      </w:r>
      <w:r>
        <w:rPr>
          <w:rFonts w:ascii="Arial" w:cs="Arial" w:eastAsia="Arial" w:hAnsi="Arial"/>
          <w:color w:val="28382C"/>
          <w:sz w:val="22"/>
          <w:szCs w:val="22"/>
        </w:rPr>
        <w:t xml:space="preserve">owners of beach houses, lake properties, and resort homes who keep golf carts at those properties for guest transportation need coverage that applies at the vacation property, which is typically excluded from the primary homeowners policy coverage territory</w:t>
      </w:r>
    </w:p>
    <w:p>
      <w:pPr>
        <w:pStyle w:val="ListParagraph"/>
        <w:numPr>
          <w:ilvl w:val="0"/>
          <w:numId w:val="2"/>
        </w:numPr>
        <w:spacing w:after="60" w:before="60"/>
      </w:pPr>
      <w:r>
        <w:rPr>
          <w:rFonts w:ascii="Arial" w:cs="Arial" w:eastAsia="Arial" w:hAnsi="Arial"/>
          <w:b/>
          <w:bCs/>
          <w:color w:val="2A5830"/>
          <w:sz w:val="22"/>
          <w:szCs w:val="22"/>
        </w:rPr>
        <w:t xml:space="preserve">High-value cart owners — </w:t>
      </w:r>
      <w:r>
        <w:rPr>
          <w:rFonts w:ascii="Arial" w:cs="Arial" w:eastAsia="Arial" w:hAnsi="Arial"/>
          <w:color w:val="28382C"/>
          <w:sz w:val="22"/>
          <w:szCs w:val="22"/>
        </w:rPr>
        <w:t xml:space="preserve">owners of premium, customized, or collector golf carts with values of $15,000 or more need physical damage coverage that reflects the cart’s actual value; homeowners physical damage limits (if any) are wholly inadequate for these vehicles</w:t>
      </w:r>
    </w:p>
    <w:p>
      <w:pPr>
        <w:pStyle w:val="ListParagraph"/>
        <w:numPr>
          <w:ilvl w:val="0"/>
          <w:numId w:val="2"/>
        </w:numPr>
        <w:spacing w:after="60" w:before="60"/>
      </w:pPr>
      <w:r>
        <w:rPr>
          <w:rFonts w:ascii="Arial" w:cs="Arial" w:eastAsia="Arial" w:hAnsi="Arial"/>
          <w:b/>
          <w:bCs/>
          <w:color w:val="2A5830"/>
          <w:sz w:val="22"/>
          <w:szCs w:val="22"/>
        </w:rPr>
        <w:t xml:space="preserve">Cart rental businesses — </w:t>
      </w:r>
      <w:r>
        <w:rPr>
          <w:rFonts w:ascii="Arial" w:cs="Arial" w:eastAsia="Arial" w:hAnsi="Arial"/>
          <w:color w:val="28382C"/>
          <w:sz w:val="22"/>
          <w:szCs w:val="22"/>
        </w:rPr>
        <w:t xml:space="preserve">businesses that rent golf carts to the public face commercial liability exposure and need commercial-grade golf cart or vehicle coverage appropriate for the rental activity</w:t>
      </w:r>
    </w:p>
    <w:p>
      <w:pPr>
        <w:pStyle w:val="ListParagraph"/>
        <w:numPr>
          <w:ilvl w:val="0"/>
          <w:numId w:val="2"/>
        </w:numPr>
        <w:spacing w:after="60" w:before="60"/>
      </w:pPr>
      <w:r>
        <w:rPr>
          <w:rFonts w:ascii="Arial" w:cs="Arial" w:eastAsia="Arial" w:hAnsi="Arial"/>
          <w:b/>
          <w:bCs/>
          <w:color w:val="2A5830"/>
          <w:sz w:val="22"/>
          <w:szCs w:val="22"/>
        </w:rPr>
        <w:t xml:space="preserve">Golf course operators — </w:t>
      </w:r>
      <w:r>
        <w:rPr>
          <w:rFonts w:ascii="Arial" w:cs="Arial" w:eastAsia="Arial" w:hAnsi="Arial"/>
          <w:color w:val="28382C"/>
          <w:sz w:val="22"/>
          <w:szCs w:val="22"/>
        </w:rPr>
        <w:t xml:space="preserve">golf courses and resorts that provide carts to players need a fleet-level golf cart coverage program covering the full fleet, player liability while using course carts, and physical damage for all course vehicles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A3858" w:sz="18"/>
              <w:bottom w:val="none" w:color="FFFFFF" w:sz="0"/>
              <w:right w:val="none" w:color="FFFFFF" w:sz="0"/>
            </w:tcBorders>
            <w:shd w:fill="E8F3F7" w:val="clear"/>
            <w:tcMar>
              <w:top w:type="dxa" w:w="110"/>
              <w:left w:type="dxa" w:w="200"/>
              <w:bottom w:type="dxa" w:w="110"/>
              <w:right w:type="dxa" w:w="160"/>
            </w:tcMar>
          </w:tcPr>
          <w:p>
            <w:pPr>
              <w:spacing w:after="60" w:before="0"/>
            </w:pPr>
            <w:r>
              <w:rPr>
                <w:rFonts w:ascii="Arial" w:cs="Arial" w:eastAsia="Arial" w:hAnsi="Arial"/>
                <w:b/>
                <w:bCs/>
                <w:caps/>
                <w:color w:val="0A3858"/>
                <w:sz w:val="19"/>
                <w:szCs w:val="19"/>
              </w:rPr>
              <w:t xml:space="preserve">The Planned Community Liability Scenario</w:t>
            </w:r>
          </w:p>
          <w:p>
            <w:pPr>
              <w:spacing w:after="0" w:before="0"/>
            </w:pPr>
            <w:r>
              <w:rPr>
                <w:rFonts w:ascii="Arial" w:cs="Arial" w:eastAsia="Arial" w:hAnsi="Arial"/>
                <w:color w:val="0A2830"/>
                <w:sz w:val="20"/>
                <w:szCs w:val="20"/>
              </w:rPr>
              <w:t xml:space="preserve">A retired couple living in a Florida golf cart community owns a two-year-old $16,000 custom golf cart. Driving on a community road, the husband loses control on a wet curve and strikes another resident’s cart, injuring the other driver ($35,000 in medical bills) and damaging the other cart ($9,000). Their homeowners policy provides on-premises liability only — the community road is not their premises. Without dedicated golf cart insurance, the couple faces a $44,000 uninsured loss.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7.  </w:t>
            </w:r>
            <w:r>
              <w:rPr>
                <w:rFonts w:ascii="Arial" w:cs="Arial" w:eastAsia="Arial" w:hAnsi="Arial"/>
                <w:b/>
                <w:bCs/>
                <w:color w:val="FFFFFF"/>
                <w:sz w:val="28"/>
                <w:szCs w:val="28"/>
              </w:rPr>
              <w:t xml:space="preserve">When Golf Cart Insurance Is Required by Law</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Unlike automobile insurance, which is required by law in virtually every U.S. state for motor vehicles, golf cart insurance requirements are not universally mandated. However, legal and quasi-legal requirements for golf cart insurance arise in several specific contexts that affect a significant number of golf cart owners. Understanding when insurance is legally required — and when it is contractually required — helps cart owners maintain compliance.</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Legal Requirements by State</w:t>
      </w:r>
    </w:p>
    <w:p>
      <w:pPr>
        <w:spacing w:after="110" w:before="80"/>
      </w:pPr>
      <w:r>
        <w:rPr>
          <w:rFonts w:ascii="Arial" w:cs="Arial" w:eastAsia="Arial" w:hAnsi="Arial"/>
          <w:color w:val="101E14"/>
          <w:sz w:val="22"/>
          <w:szCs w:val="22"/>
        </w:rPr>
        <w:t xml:space="preserve">A growing number of states have enacted legislation permitting golf carts on certain public roads under specific conditions. When a state permits golf carts on public roads, it typically requires minimum liability insurance similar to what is required for motor vehicles. States with some form of golf cart road use statute that may impose insurance requirements include Florida, South Carolina, Georgia, California, and others, though the specific requirements vary significantly.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Florida</w:t>
            </w:r>
          </w:p>
          <w:p>
            <w:pPr>
              <w:spacing w:after="0" w:before="0"/>
            </w:pPr>
            <w:r>
              <w:rPr>
                <w:rFonts w:ascii="Arial" w:cs="Arial" w:eastAsia="Arial" w:hAnsi="Arial"/>
                <w:color w:val="28382C"/>
                <w:sz w:val="20"/>
                <w:szCs w:val="20"/>
              </w:rPr>
              <w:t xml:space="preserve">Florida permits golf cart operation on certain streets and in designated communities; golf carts operated on public roads in Florida are generally required to have minimum liability insurance meeting state financial responsibility requirements.</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South Carolina</w:t>
            </w:r>
          </w:p>
          <w:p>
            <w:pPr>
              <w:spacing w:after="0" w:before="0"/>
            </w:pPr>
            <w:r>
              <w:rPr>
                <w:rFonts w:ascii="Arial" w:cs="Arial" w:eastAsia="Arial" w:hAnsi="Arial"/>
                <w:color w:val="28382C"/>
                <w:sz w:val="20"/>
                <w:szCs w:val="20"/>
              </w:rPr>
              <w:t xml:space="preserve">South Carolina has specific statutes allowing golf cart use on certain public roads in beach communities and other designated areas; insurance requirements vary by municipality and type of road access permitted.</w:t>
            </w:r>
          </w:p>
        </w:tc>
      </w:tr>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Georgia</w:t>
            </w:r>
          </w:p>
          <w:p>
            <w:pPr>
              <w:spacing w:after="0" w:before="0"/>
            </w:pPr>
            <w:r>
              <w:rPr>
                <w:rFonts w:ascii="Arial" w:cs="Arial" w:eastAsia="Arial" w:hAnsi="Arial"/>
                <w:color w:val="28382C"/>
                <w:sz w:val="20"/>
                <w:szCs w:val="20"/>
              </w:rPr>
              <w:t xml:space="preserve">Georgia permits golf carts on public roads under certain conditions, including registration and insurance requirements that vary by local ordinance and road classification.</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California</w:t>
            </w:r>
          </w:p>
          <w:p>
            <w:pPr>
              <w:spacing w:after="0" w:before="0"/>
            </w:pPr>
            <w:r>
              <w:rPr>
                <w:rFonts w:ascii="Arial" w:cs="Arial" w:eastAsia="Arial" w:hAnsi="Arial"/>
                <w:color w:val="28382C"/>
                <w:sz w:val="20"/>
                <w:szCs w:val="20"/>
              </w:rPr>
              <w:t xml:space="preserve">California has specific provisions for NEVs and LSVs on roads with speed limits up to 35 mph; registered NEVs must meet standard auto insurance requirements; unregistered golf carts used on private property are not subject to state insurance mandates.</w:t>
            </w:r>
          </w:p>
        </w:tc>
      </w:tr>
    </w:tbl>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Contractual and Quasi-Legal Requirements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Golf course requirements — </w:t>
      </w:r>
      <w:r>
        <w:rPr>
          <w:rFonts w:ascii="Arial" w:cs="Arial" w:eastAsia="Arial" w:hAnsi="Arial"/>
          <w:color w:val="28382C"/>
          <w:sz w:val="22"/>
          <w:szCs w:val="22"/>
        </w:rPr>
        <w:t xml:space="preserve">many private and semi-private golf courses require players who bring their own carts to the course to carry liability insurance and provide proof of coverage; this is typically a course policy requirement, not a state law, but failure to comply results in denial of cart access</w:t>
      </w:r>
    </w:p>
    <w:p>
      <w:pPr>
        <w:pStyle w:val="ListParagraph"/>
        <w:numPr>
          <w:ilvl w:val="0"/>
          <w:numId w:val="2"/>
        </w:numPr>
        <w:spacing w:after="60" w:before="60"/>
      </w:pPr>
      <w:r>
        <w:rPr>
          <w:rFonts w:ascii="Arial" w:cs="Arial" w:eastAsia="Arial" w:hAnsi="Arial"/>
          <w:b/>
          <w:bCs/>
          <w:color w:val="2A5830"/>
          <w:sz w:val="22"/>
          <w:szCs w:val="22"/>
        </w:rPr>
        <w:t xml:space="preserve">HOA and community rules — </w:t>
      </w:r>
      <w:r>
        <w:rPr>
          <w:rFonts w:ascii="Arial" w:cs="Arial" w:eastAsia="Arial" w:hAnsi="Arial"/>
          <w:color w:val="28382C"/>
          <w:sz w:val="22"/>
          <w:szCs w:val="22"/>
        </w:rPr>
        <w:t xml:space="preserve">homeowners associations in planned communities that permit golf cart use on community roads frequently require all cart operators to carry minimum liability insurance as a condition of the community’s rules; violations can result in fines or loss of cart operating privileges within the community</w:t>
      </w:r>
    </w:p>
    <w:p>
      <w:pPr>
        <w:pStyle w:val="ListParagraph"/>
        <w:numPr>
          <w:ilvl w:val="0"/>
          <w:numId w:val="2"/>
        </w:numPr>
        <w:spacing w:after="60" w:before="60"/>
      </w:pPr>
      <w:r>
        <w:rPr>
          <w:rFonts w:ascii="Arial" w:cs="Arial" w:eastAsia="Arial" w:hAnsi="Arial"/>
          <w:b/>
          <w:bCs/>
          <w:color w:val="2A5830"/>
          <w:sz w:val="22"/>
          <w:szCs w:val="22"/>
        </w:rPr>
        <w:t xml:space="preserve">Lender requirements — </w:t>
      </w:r>
      <w:r>
        <w:rPr>
          <w:rFonts w:ascii="Arial" w:cs="Arial" w:eastAsia="Arial" w:hAnsi="Arial"/>
          <w:color w:val="28382C"/>
          <w:sz w:val="22"/>
          <w:szCs w:val="22"/>
        </w:rPr>
        <w:t xml:space="preserve">if a golf cart is purchased through a financing arrangement, the lender will require comprehensive and collision coverage on the cart as a condition of the loan, just as auto lenders require physical damage coverage on financed vehicles</w:t>
      </w:r>
    </w:p>
    <w:p>
      <w:pPr>
        <w:pStyle w:val="ListParagraph"/>
        <w:numPr>
          <w:ilvl w:val="0"/>
          <w:numId w:val="2"/>
        </w:numPr>
        <w:spacing w:after="60" w:before="60"/>
      </w:pPr>
      <w:r>
        <w:rPr>
          <w:rFonts w:ascii="Arial" w:cs="Arial" w:eastAsia="Arial" w:hAnsi="Arial"/>
          <w:b/>
          <w:bCs/>
          <w:color w:val="2A5830"/>
          <w:sz w:val="22"/>
          <w:szCs w:val="22"/>
        </w:rPr>
        <w:t xml:space="preserve">State park and recreation area rules — </w:t>
      </w:r>
      <w:r>
        <w:rPr>
          <w:rFonts w:ascii="Arial" w:cs="Arial" w:eastAsia="Arial" w:hAnsi="Arial"/>
          <w:color w:val="28382C"/>
          <w:sz w:val="22"/>
          <w:szCs w:val="22"/>
        </w:rPr>
        <w:t xml:space="preserve">state parks, campgrounds, and recreation areas that permit golf cart use on their roads or paths may require proof of liability insurance for privately-owned carts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30" w:sz="18"/>
              <w:bottom w:val="none" w:color="FFFFFF" w:sz="0"/>
              <w:right w:val="none" w:color="FFFFFF" w:sz="0"/>
            </w:tcBorders>
            <w:shd w:fill="FAF6EC" w:val="clear"/>
            <w:tcMar>
              <w:top w:type="dxa" w:w="110"/>
              <w:left w:type="dxa" w:w="200"/>
              <w:bottom w:type="dxa" w:w="110"/>
              <w:right w:type="dxa" w:w="160"/>
            </w:tcMar>
          </w:tcPr>
          <w:p>
            <w:pPr>
              <w:spacing w:after="60" w:before="0"/>
            </w:pPr>
            <w:r>
              <w:rPr>
                <w:rFonts w:ascii="Arial" w:cs="Arial" w:eastAsia="Arial" w:hAnsi="Arial"/>
                <w:b/>
                <w:bCs/>
                <w:caps/>
                <w:color w:val="6A5020"/>
                <w:sz w:val="19"/>
                <w:szCs w:val="19"/>
              </w:rPr>
              <w:t xml:space="preserve">Local Ordinances Matter</w:t>
            </w:r>
          </w:p>
          <w:p>
            <w:pPr>
              <w:spacing w:after="0" w:before="0"/>
            </w:pPr>
            <w:r>
              <w:rPr>
                <w:rFonts w:ascii="Arial" w:cs="Arial" w:eastAsia="Arial" w:hAnsi="Arial"/>
                <w:color w:val="4A3000"/>
                <w:sz w:val="20"/>
                <w:szCs w:val="20"/>
              </w:rPr>
              <w:t xml:space="preserve">Golf cart road use and insurance requirements are often set at the municipal or county level rather than the state level. A city or county may permit golf cart use on certain streets within its boundaries and impose its own insurance requirements. Always check local ordinances in addition to state law when determining the insurance requirements for golf cart road use in a specific location.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8.  </w:t>
            </w:r>
            <w:r>
              <w:rPr>
                <w:rFonts w:ascii="Arial" w:cs="Arial" w:eastAsia="Arial" w:hAnsi="Arial"/>
                <w:b/>
                <w:bCs/>
                <w:color w:val="FFFFFF"/>
                <w:sz w:val="28"/>
                <w:szCs w:val="28"/>
              </w:rPr>
              <w:t xml:space="preserve">Golf Cart Insurance for On-Course Use Only</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Golf cart owners who use their personally-owned carts exclusively on golf courses — without operating them on public roads, community streets, or private land beyond the course grounds — have a specific and more limited insurance need than owners who use their carts for broader transportation. On-course-only insurance is designed for this specific use case.</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The On-Course Risk Profile</w:t>
      </w:r>
    </w:p>
    <w:p>
      <w:pPr>
        <w:spacing w:after="110" w:before="80"/>
      </w:pPr>
      <w:r>
        <w:rPr>
          <w:rFonts w:ascii="Arial" w:cs="Arial" w:eastAsia="Arial" w:hAnsi="Arial"/>
          <w:color w:val="101E14"/>
          <w:sz w:val="22"/>
          <w:szCs w:val="22"/>
        </w:rPr>
        <w:t xml:space="preserve">A golf cart operated only on golf courses faces a more controlled risk environment than one used on roads or in communities. Golf course grounds are private property with controlled access, relatively low speeds, and an environment designed for cart operation. However, “low risk” does not mean “no risk,” and on-course accidents generate real claims: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Cart-to-cart collisions — </w:t>
      </w:r>
      <w:r>
        <w:rPr>
          <w:rFonts w:ascii="Arial" w:cs="Arial" w:eastAsia="Arial" w:hAnsi="Arial"/>
          <w:color w:val="28382C"/>
          <w:sz w:val="22"/>
          <w:szCs w:val="22"/>
        </w:rPr>
        <w:t xml:space="preserve">two carts approaching the same green from different angles, a cart starting unexpectedly in front of another, or a cart rolling on a slope — these common scenarios can result in significant damage to both carts and injuries to occupants</w:t>
      </w:r>
    </w:p>
    <w:p>
      <w:pPr>
        <w:pStyle w:val="ListParagraph"/>
        <w:numPr>
          <w:ilvl w:val="0"/>
          <w:numId w:val="2"/>
        </w:numPr>
        <w:spacing w:after="60" w:before="60"/>
      </w:pPr>
      <w:r>
        <w:rPr>
          <w:rFonts w:ascii="Arial" w:cs="Arial" w:eastAsia="Arial" w:hAnsi="Arial"/>
          <w:b/>
          <w:bCs/>
          <w:color w:val="2A5830"/>
          <w:sz w:val="22"/>
          <w:szCs w:val="22"/>
        </w:rPr>
        <w:t xml:space="preserve">Pedestrian incidents — </w:t>
      </w:r>
      <w:r>
        <w:rPr>
          <w:rFonts w:ascii="Arial" w:cs="Arial" w:eastAsia="Arial" w:hAnsi="Arial"/>
          <w:color w:val="28382C"/>
          <w:sz w:val="22"/>
          <w:szCs w:val="22"/>
        </w:rPr>
        <w:t xml:space="preserve">golfers walking the course, caddies, course maintenance workers, and other pedestrians sharing the course with carts create pedestrian injury liability exposure; a cart’s brakes fail or the operator is momentarily inattentive and a pedestrian is struck</w:t>
      </w:r>
    </w:p>
    <w:p>
      <w:pPr>
        <w:pStyle w:val="ListParagraph"/>
        <w:numPr>
          <w:ilvl w:val="0"/>
          <w:numId w:val="2"/>
        </w:numPr>
        <w:spacing w:after="60" w:before="60"/>
      </w:pPr>
      <w:r>
        <w:rPr>
          <w:rFonts w:ascii="Arial" w:cs="Arial" w:eastAsia="Arial" w:hAnsi="Arial"/>
          <w:b/>
          <w:bCs/>
          <w:color w:val="2A5830"/>
          <w:sz w:val="22"/>
          <w:szCs w:val="22"/>
        </w:rPr>
        <w:t xml:space="preserve">Property damage to course — </w:t>
      </w:r>
      <w:r>
        <w:rPr>
          <w:rFonts w:ascii="Arial" w:cs="Arial" w:eastAsia="Arial" w:hAnsi="Arial"/>
          <w:color w:val="28382C"/>
          <w:sz w:val="22"/>
          <w:szCs w:val="22"/>
        </w:rPr>
        <w:t xml:space="preserve">carts that roll into bunkers, damage greens, or strike course fixtures create property damage claims that the golf course may pursue against the cart owner</w:t>
      </w:r>
    </w:p>
    <w:p>
      <w:pPr>
        <w:pStyle w:val="ListParagraph"/>
        <w:numPr>
          <w:ilvl w:val="0"/>
          <w:numId w:val="2"/>
        </w:numPr>
        <w:spacing w:after="60" w:before="60"/>
      </w:pPr>
      <w:r>
        <w:rPr>
          <w:rFonts w:ascii="Arial" w:cs="Arial" w:eastAsia="Arial" w:hAnsi="Arial"/>
          <w:b/>
          <w:bCs/>
          <w:color w:val="2A5830"/>
          <w:sz w:val="22"/>
          <w:szCs w:val="22"/>
        </w:rPr>
        <w:t xml:space="preserve">Passenger injuries — </w:t>
      </w:r>
      <w:r>
        <w:rPr>
          <w:rFonts w:ascii="Arial" w:cs="Arial" w:eastAsia="Arial" w:hAnsi="Arial"/>
          <w:color w:val="28382C"/>
          <w:sz w:val="22"/>
          <w:szCs w:val="22"/>
        </w:rPr>
        <w:t xml:space="preserve">golf cart passengers — particularly older golfers who are the cart’s primary market — are vulnerable to injury from sudden stops, sharp turns, and rough terrain; medical payments coverage is critical for cart owners who regularly carry passengers</w:t>
      </w:r>
    </w:p>
    <w:p>
      <w:pPr>
        <w:pStyle w:val="ListParagraph"/>
        <w:numPr>
          <w:ilvl w:val="0"/>
          <w:numId w:val="2"/>
        </w:numPr>
        <w:spacing w:after="60" w:before="60"/>
      </w:pPr>
      <w:r>
        <w:rPr>
          <w:rFonts w:ascii="Arial" w:cs="Arial" w:eastAsia="Arial" w:hAnsi="Arial"/>
          <w:b/>
          <w:bCs/>
          <w:color w:val="2A5830"/>
          <w:sz w:val="22"/>
          <w:szCs w:val="22"/>
        </w:rPr>
        <w:t xml:space="preserve">Cart theft from course lot — </w:t>
      </w:r>
      <w:r>
        <w:rPr>
          <w:rFonts w:ascii="Arial" w:cs="Arial" w:eastAsia="Arial" w:hAnsi="Arial"/>
          <w:color w:val="28382C"/>
          <w:sz w:val="22"/>
          <w:szCs w:val="22"/>
        </w:rPr>
        <w:t xml:space="preserve">golf carts stored at a course in a cart barn or personal cart parking area are vulnerable to theft; comprehensive coverage protects against this loss</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Coverage Structure for On-Course Use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Liability Coverage</w:t>
            </w:r>
          </w:p>
          <w:p>
            <w:pPr>
              <w:spacing w:after="0" w:before="0"/>
            </w:pPr>
            <w:r>
              <w:rPr>
                <w:rFonts w:ascii="Arial" w:cs="Arial" w:eastAsia="Arial" w:hAnsi="Arial"/>
                <w:color w:val="28382C"/>
                <w:sz w:val="20"/>
                <w:szCs w:val="20"/>
              </w:rPr>
              <w:t xml:space="preserve">Coverage for bodily injury to other golfers, pedestrians, and course staff and for property damage to other carts, course infrastructure, and third-party property. Recommended minimum: $100,000 per occurrence; $300,000+ preferred for carts used in populated course environments.</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Medical Payments</w:t>
            </w:r>
          </w:p>
          <w:p>
            <w:pPr>
              <w:spacing w:after="0" w:before="0"/>
            </w:pPr>
            <w:r>
              <w:rPr>
                <w:rFonts w:ascii="Arial" w:cs="Arial" w:eastAsia="Arial" w:hAnsi="Arial"/>
                <w:color w:val="28382C"/>
                <w:sz w:val="20"/>
                <w:szCs w:val="20"/>
              </w:rPr>
              <w:t xml:space="preserve">No-fault medical expense coverage for the cart operator and passengers after an on-course accident. Particularly important given the typical age demographic of golf cart users and the vulnerability of open cart occupants to injury.</w:t>
            </w:r>
          </w:p>
        </w:tc>
      </w:tr>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Physical Damage — Collision</w:t>
            </w:r>
          </w:p>
          <w:p>
            <w:pPr>
              <w:spacing w:after="0" w:before="0"/>
            </w:pPr>
            <w:r>
              <w:rPr>
                <w:rFonts w:ascii="Arial" w:cs="Arial" w:eastAsia="Arial" w:hAnsi="Arial"/>
                <w:color w:val="28382C"/>
                <w:sz w:val="20"/>
                <w:szCs w:val="20"/>
              </w:rPr>
              <w:t xml:space="preserve">Coverage for damage to the cart resulting from collision with another cart, a tree, a course fixture, or any other object. Given on-course terrain and the proximity of other carts and golfers, collision damage is a common claim on golf courses.</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Physical Damage — Comprehensive</w:t>
            </w:r>
          </w:p>
          <w:p>
            <w:pPr>
              <w:spacing w:after="0" w:before="0"/>
            </w:pPr>
            <w:r>
              <w:rPr>
                <w:rFonts w:ascii="Arial" w:cs="Arial" w:eastAsia="Arial" w:hAnsi="Arial"/>
                <w:color w:val="28382C"/>
                <w:sz w:val="20"/>
                <w:szCs w:val="20"/>
              </w:rPr>
              <w:t xml:space="preserve">Coverage for theft, vandalism, fire, and other non-collision perils. Golf carts stored at courses are frequently targeted for theft; comprehensive coverage is essential for any cart stored regularly at a course facility.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5830" w:sz="18"/>
              <w:bottom w:val="none" w:color="FFFFFF" w:sz="0"/>
              <w:right w:val="none" w:color="FFFFFF" w:sz="0"/>
            </w:tcBorders>
            <w:shd w:fill="EAF3EA" w:val="clear"/>
            <w:tcMar>
              <w:top w:type="dxa" w:w="110"/>
              <w:left w:type="dxa" w:w="200"/>
              <w:bottom w:type="dxa" w:w="110"/>
              <w:right w:type="dxa" w:w="160"/>
            </w:tcMar>
          </w:tcPr>
          <w:p>
            <w:pPr>
              <w:spacing w:after="0" w:before="0"/>
            </w:pPr>
            <w:r>
              <w:rPr>
                <w:rFonts w:ascii="Arial" w:cs="Arial" w:eastAsia="Arial" w:hAnsi="Arial"/>
                <w:b/>
                <w:bCs/>
                <w:color w:val="1A3E20"/>
                <w:sz w:val="20"/>
                <w:szCs w:val="20"/>
              </w:rPr>
              <w:t xml:space="preserve">Key Takeaway: </w:t>
            </w:r>
            <w:r>
              <w:rPr>
                <w:rFonts w:ascii="Arial" w:cs="Arial" w:eastAsia="Arial" w:hAnsi="Arial"/>
                <w:color w:val="28382C"/>
                <w:sz w:val="20"/>
                <w:szCs w:val="20"/>
              </w:rPr>
              <w:t xml:space="preserve">On-course-only golf cart insurance is less expensive than street-use policies because the exposure is more controlled — but it must match the actual scope of the cart’s use. If the cart is ever operated off the course — even occasionally, even at home — the on-course policy may not respond to an incident away from the course. Be precise about use when selecting coverage.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9.  </w:t>
            </w:r>
            <w:r>
              <w:rPr>
                <w:rFonts w:ascii="Arial" w:cs="Arial" w:eastAsia="Arial" w:hAnsi="Arial"/>
                <w:b/>
                <w:bCs/>
                <w:color w:val="FFFFFF"/>
                <w:sz w:val="28"/>
                <w:szCs w:val="28"/>
              </w:rPr>
              <w:t xml:space="preserve">Golf Cart Insurance for Street-Legal Use</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Golf carts and low-speed vehicles used on public roads or community streets face dramatically higher liability exposure than those used exclusively on golf courses or private property. When a cart operates on public roads, it shares the road with passenger vehicles, cyclists, pedestrians, and other traffic — and the consequences of an accident can be far more severe than on a golf course.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3E20" w:val="clear"/>
            <w:tcMar>
              <w:top w:type="dxa" w:w="120"/>
              <w:left w:type="dxa" w:w="160"/>
              <w:bottom w:type="dxa" w:w="40"/>
              <w:right w:type="dxa" w:w="160"/>
            </w:tcMar>
          </w:tcPr>
          <w:p>
            <w:pPr>
              <w:spacing w:after="0" w:before="0"/>
              <w:jc w:val="center"/>
            </w:pPr>
            <w:r>
              <w:rPr>
                <w:rFonts w:ascii="Arial" w:cs="Arial" w:eastAsia="Arial" w:hAnsi="Arial"/>
                <w:b/>
                <w:bCs/>
                <w:color w:val="FFFFFF"/>
                <w:sz w:val="26"/>
                <w:szCs w:val="26"/>
              </w:rPr>
              <w:t xml:space="preserve">ON-COURSE ONLY</w:t>
            </w:r>
          </w:p>
        </w:tc>
        <w:tc>
          <w:tcPr>
            <w:tcW w:type="dxa" w:w="4620"/>
            <w:tcBorders>
              <w:top w:val="none" w:color="FFFFFF" w:sz="0"/>
              <w:left w:val="none" w:color="FFFFFF" w:sz="0"/>
              <w:bottom w:val="none" w:color="FFFFFF" w:sz="0"/>
              <w:right w:val="none" w:color="FFFFFF" w:sz="0"/>
            </w:tcBorders>
            <w:shd w:fill="0A3858" w:val="clear"/>
            <w:tcMar>
              <w:top w:type="dxa" w:w="120"/>
              <w:left w:type="dxa" w:w="160"/>
              <w:bottom w:type="dxa" w:w="40"/>
              <w:right w:type="dxa" w:w="160"/>
            </w:tcMar>
          </w:tcPr>
          <w:p>
            <w:pPr>
              <w:spacing w:after="0" w:before="0"/>
              <w:jc w:val="center"/>
            </w:pPr>
            <w:r>
              <w:rPr>
                <w:rFonts w:ascii="Arial" w:cs="Arial" w:eastAsia="Arial" w:hAnsi="Arial"/>
                <w:b/>
                <w:bCs/>
                <w:color w:val="FFFFFF"/>
                <w:sz w:val="26"/>
                <w:szCs w:val="26"/>
              </w:rPr>
              <w:t xml:space="preserve">STREET-LEGAL USE</w:t>
            </w:r>
          </w:p>
        </w:tc>
      </w:tr>
      <w:tr>
        <w:tc>
          <w:tcPr>
            <w:tcW w:type="dxa" w:w="4620"/>
            <w:tcBorders>
              <w:top w:val="single" w:color="90A898" w:sz="1"/>
              <w:left w:val="single" w:color="90A898" w:sz="1"/>
              <w:bottom w:val="single" w:color="90A898" w:sz="1"/>
              <w:right w:val="single" w:color="90A898" w:sz="1"/>
            </w:tcBorders>
            <w:shd w:fill="EAF3EA" w:val="clear"/>
            <w:tcMar>
              <w:top w:type="dxa" w:w="100"/>
              <w:left w:type="dxa" w:w="160"/>
              <w:bottom w:type="dxa" w:w="100"/>
              <w:right w:type="dxa" w:w="160"/>
            </w:tcMar>
          </w:tcPr>
          <w:p>
            <w:pPr>
              <w:spacing w:after="60" w:before="0"/>
            </w:pPr>
            <w:r>
              <w:rPr>
                <w:rFonts w:ascii="Arial" w:cs="Arial" w:eastAsia="Arial" w:hAnsi="Arial"/>
                <w:color w:val="28382C"/>
                <w:sz w:val="19"/>
                <w:szCs w:val="19"/>
              </w:rPr>
              <w:t xml:space="preserve">Where used: golf course, clubhouse grounds</w:t>
            </w:r>
          </w:p>
          <w:p>
            <w:pPr>
              <w:spacing w:after="60" w:before="0"/>
            </w:pPr>
            <w:r>
              <w:rPr>
                <w:rFonts w:ascii="Arial" w:cs="Arial" w:eastAsia="Arial" w:hAnsi="Arial"/>
                <w:color w:val="28382C"/>
                <w:sz w:val="19"/>
                <w:szCs w:val="19"/>
              </w:rPr>
              <w:t xml:space="preserve">Speed: up to 20 mph on course</w:t>
            </w:r>
          </w:p>
          <w:p>
            <w:pPr>
              <w:spacing w:after="60" w:before="0"/>
            </w:pPr>
            <w:r>
              <w:rPr>
                <w:rFonts w:ascii="Arial" w:cs="Arial" w:eastAsia="Arial" w:hAnsi="Arial"/>
                <w:color w:val="28382C"/>
                <w:sz w:val="19"/>
                <w:szCs w:val="19"/>
              </w:rPr>
              <w:t xml:space="preserve">Registration: not required</w:t>
            </w:r>
          </w:p>
          <w:p>
            <w:pPr>
              <w:spacing w:after="60" w:before="0"/>
            </w:pPr>
            <w:r>
              <w:rPr>
                <w:rFonts w:ascii="Arial" w:cs="Arial" w:eastAsia="Arial" w:hAnsi="Arial"/>
                <w:color w:val="28382C"/>
                <w:sz w:val="19"/>
                <w:szCs w:val="19"/>
              </w:rPr>
              <w:t xml:space="preserve">Driver’s license: not required on course</w:t>
            </w:r>
          </w:p>
          <w:p>
            <w:pPr>
              <w:spacing w:after="60" w:before="0"/>
            </w:pPr>
            <w:r>
              <w:rPr>
                <w:rFonts w:ascii="Arial" w:cs="Arial" w:eastAsia="Arial" w:hAnsi="Arial"/>
                <w:color w:val="28382C"/>
                <w:sz w:val="19"/>
                <w:szCs w:val="19"/>
              </w:rPr>
              <w:t xml:space="preserve">Liability exposure: lower — controlled environment</w:t>
            </w:r>
          </w:p>
          <w:p>
            <w:pPr>
              <w:spacing w:after="0" w:before="0"/>
            </w:pPr>
            <w:r>
              <w:rPr>
                <w:rFonts w:ascii="Arial" w:cs="Arial" w:eastAsia="Arial" w:hAnsi="Arial"/>
                <w:b/>
                <w:bCs/>
                <w:color w:val="1A3E20"/>
                <w:sz w:val="19"/>
                <w:szCs w:val="19"/>
              </w:rPr>
              <w:t xml:space="preserve">Insurance: golf cart liability + physical damage</w:t>
            </w:r>
          </w:p>
        </w:tc>
        <w:tc>
          <w:tcPr>
            <w:tcW w:type="dxa" w:w="4620"/>
            <w:tcBorders>
              <w:top w:val="single" w:color="90A898" w:sz="1"/>
              <w:left w:val="single" w:color="90A898" w:sz="1"/>
              <w:bottom w:val="single" w:color="90A898" w:sz="1"/>
              <w:right w:val="single" w:color="90A898" w:sz="1"/>
            </w:tcBorders>
            <w:shd w:fill="E8F3F7" w:val="clear"/>
            <w:tcMar>
              <w:top w:type="dxa" w:w="100"/>
              <w:left w:type="dxa" w:w="160"/>
              <w:bottom w:type="dxa" w:w="100"/>
              <w:right w:type="dxa" w:w="160"/>
            </w:tcMar>
          </w:tcPr>
          <w:p>
            <w:pPr>
              <w:spacing w:after="60" w:before="0"/>
            </w:pPr>
            <w:r>
              <w:rPr>
                <w:rFonts w:ascii="Arial" w:cs="Arial" w:eastAsia="Arial" w:hAnsi="Arial"/>
                <w:color w:val="28382C"/>
                <w:sz w:val="19"/>
                <w:szCs w:val="19"/>
              </w:rPr>
              <w:t xml:space="preserve">Where used: public roads (35 mph zones), communities</w:t>
            </w:r>
          </w:p>
          <w:p>
            <w:pPr>
              <w:spacing w:after="60" w:before="0"/>
            </w:pPr>
            <w:r>
              <w:rPr>
                <w:rFonts w:ascii="Arial" w:cs="Arial" w:eastAsia="Arial" w:hAnsi="Arial"/>
                <w:color w:val="28382C"/>
                <w:sz w:val="19"/>
                <w:szCs w:val="19"/>
              </w:rPr>
              <w:t xml:space="preserve">Speed: 20–25 mph maximum for LSV/NEV</w:t>
            </w:r>
          </w:p>
          <w:p>
            <w:pPr>
              <w:spacing w:after="60" w:before="0"/>
            </w:pPr>
            <w:r>
              <w:rPr>
                <w:rFonts w:ascii="Arial" w:cs="Arial" w:eastAsia="Arial" w:hAnsi="Arial"/>
                <w:color w:val="28382C"/>
                <w:sz w:val="19"/>
                <w:szCs w:val="19"/>
              </w:rPr>
              <w:t xml:space="preserve">Registration: title + registration required</w:t>
            </w:r>
          </w:p>
          <w:p>
            <w:pPr>
              <w:spacing w:after="60" w:before="0"/>
            </w:pPr>
            <w:r>
              <w:rPr>
                <w:rFonts w:ascii="Arial" w:cs="Arial" w:eastAsia="Arial" w:hAnsi="Arial"/>
                <w:color w:val="28382C"/>
                <w:sz w:val="19"/>
                <w:szCs w:val="19"/>
              </w:rPr>
              <w:t xml:space="preserve">Driver’s license: required on public roads</w:t>
            </w:r>
          </w:p>
          <w:p>
            <w:pPr>
              <w:spacing w:after="60" w:before="0"/>
            </w:pPr>
            <w:r>
              <w:rPr>
                <w:rFonts w:ascii="Arial" w:cs="Arial" w:eastAsia="Arial" w:hAnsi="Arial"/>
                <w:color w:val="28382C"/>
                <w:sz w:val="19"/>
                <w:szCs w:val="19"/>
              </w:rPr>
              <w:t xml:space="preserve">Liability exposure: higher — public road risks</w:t>
            </w:r>
          </w:p>
          <w:p>
            <w:pPr>
              <w:spacing w:after="0" w:before="0"/>
            </w:pPr>
            <w:r>
              <w:rPr>
                <w:rFonts w:ascii="Arial" w:cs="Arial" w:eastAsia="Arial" w:hAnsi="Arial"/>
                <w:b/>
                <w:bCs/>
                <w:color w:val="0A3858"/>
                <w:sz w:val="19"/>
                <w:szCs w:val="19"/>
              </w:rPr>
              <w:t xml:space="preserve">Insurance: auto-equivalent LSV/NEV policy required</w:t>
            </w:r>
          </w:p>
        </w:tc>
      </w:tr>
    </w:tbl>
    <w:p>
      <w:pPr>
        <w:spacing w:after="0" w:before="12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Coverage Requirements for Street-Legal Golf Cart Use</w:t>
      </w:r>
    </w:p>
    <w:p>
      <w:pPr>
        <w:spacing w:after="110" w:before="80"/>
      </w:pPr>
      <w:r>
        <w:rPr>
          <w:rFonts w:ascii="Arial" w:cs="Arial" w:eastAsia="Arial" w:hAnsi="Arial"/>
          <w:color w:val="101E14"/>
          <w:sz w:val="22"/>
          <w:szCs w:val="22"/>
        </w:rPr>
        <w:t xml:space="preserve">When a golf cart is used on public roads — whether because the state permits unregistered golf carts on certain low-speed roads, because it has been registered as an LSV, or because it is operated in a community that connects to public streets — the insurance requirements are significantly more substantial than for purely on-course use.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Liability Coverage</w:t>
            </w:r>
          </w:p>
          <w:p>
            <w:pPr>
              <w:spacing w:after="0" w:before="0"/>
            </w:pPr>
            <w:r>
              <w:rPr>
                <w:rFonts w:ascii="Arial" w:cs="Arial" w:eastAsia="Arial" w:hAnsi="Arial"/>
                <w:color w:val="28382C"/>
                <w:sz w:val="20"/>
                <w:szCs w:val="20"/>
              </w:rPr>
              <w:t xml:space="preserve">Street-use liability coverage should meet or exceed state motor vehicle minimum liability requirements, even if the cart is not technically required to comply. Recommended minimums: $100,000 per person / $300,000 per accident / $100,000 property damage for street-legal use. Higher limits strongly recommended for regular street operation.</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Uninsured Motorist Coverage</w:t>
            </w:r>
          </w:p>
          <w:p>
            <w:pPr>
              <w:spacing w:after="0" w:before="0"/>
            </w:pPr>
            <w:r>
              <w:rPr>
                <w:rFonts w:ascii="Arial" w:cs="Arial" w:eastAsia="Arial" w:hAnsi="Arial"/>
                <w:color w:val="28382C"/>
                <w:sz w:val="20"/>
                <w:szCs w:val="20"/>
              </w:rPr>
              <w:t xml:space="preserve">When a golf cart or LSV is struck by an uninsured driver on a public road, the cart owner’s UM/UIM coverage pays for bodily injury to cart occupants. Critical for street-legal carts given that golf cart occupants are exposed and particularly vulnerable to serious injury from vehicle collisions.</w:t>
            </w:r>
          </w:p>
        </w:tc>
      </w:tr>
      <w:tr>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Physical Damage for Street Use</w:t>
            </w:r>
          </w:p>
          <w:p>
            <w:pPr>
              <w:spacing w:after="0" w:before="0"/>
            </w:pPr>
            <w:r>
              <w:rPr>
                <w:rFonts w:ascii="Arial" w:cs="Arial" w:eastAsia="Arial" w:hAnsi="Arial"/>
                <w:color w:val="28382C"/>
                <w:sz w:val="20"/>
                <w:szCs w:val="20"/>
              </w:rPr>
              <w:t xml:space="preserve">Comprehensive and collision coverage scaled to the cart’s actual value. Street-legal carts that are involved in road accidents face vehicle damage claims similar in nature (if not in size) to standard auto collision claims; collision coverage is essential.</w:t>
            </w:r>
          </w:p>
        </w:tc>
        <w:tc>
          <w:tcPr>
            <w:tcW w:type="dxa" w:w="4620"/>
            <w:tcBorders>
              <w:top w:val="single" w:color="90A898" w:sz="1"/>
              <w:left w:val="single" w:color="90A898" w:sz="1"/>
              <w:bottom w:val="single" w:color="90A898" w:sz="1"/>
              <w:right w:val="single" w:color="90A898" w:sz="1"/>
            </w:tcBorders>
            <w:shd w:fill="EAF3EA" w:val="clear"/>
            <w:tcMar>
              <w:top w:type="dxa" w:w="110"/>
              <w:left w:type="dxa" w:w="160"/>
              <w:bottom w:type="dxa" w:w="110"/>
              <w:right w:type="dxa" w:w="160"/>
            </w:tcMar>
          </w:tcPr>
          <w:p>
            <w:pPr>
              <w:spacing w:after="60" w:before="0"/>
            </w:pPr>
            <w:r>
              <w:rPr>
                <w:rFonts w:ascii="Arial" w:cs="Arial" w:eastAsia="Arial" w:hAnsi="Arial"/>
                <w:b/>
                <w:bCs/>
                <w:color w:val="2A5830"/>
                <w:sz w:val="19"/>
                <w:szCs w:val="19"/>
              </w:rPr>
              <w:t xml:space="preserve">Property Damage Liability</w:t>
            </w:r>
          </w:p>
          <w:p>
            <w:pPr>
              <w:spacing w:after="0" w:before="0"/>
            </w:pPr>
            <w:r>
              <w:rPr>
                <w:rFonts w:ascii="Arial" w:cs="Arial" w:eastAsia="Arial" w:hAnsi="Arial"/>
                <w:color w:val="28382C"/>
                <w:sz w:val="20"/>
                <w:szCs w:val="20"/>
              </w:rPr>
              <w:t xml:space="preserve">A golf cart or LSV that collides with a parked car, a mailbox, a fence, or other property on a public street creates property damage liability claims. Property damage liability at meaningful limits is essential for any cart operated on public streets or in communities with private property in close proximity.</w:t>
            </w:r>
          </w:p>
        </w:tc>
      </w:tr>
    </w:tbl>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Planned Communities with Street Networks</w:t>
      </w:r>
    </w:p>
    <w:p>
      <w:pPr>
        <w:spacing w:after="110" w:before="80"/>
      </w:pPr>
      <w:r>
        <w:rPr>
          <w:rFonts w:ascii="Arial" w:cs="Arial" w:eastAsia="Arial" w:hAnsi="Arial"/>
          <w:color w:val="101E14"/>
          <w:sz w:val="22"/>
          <w:szCs w:val="22"/>
        </w:rPr>
        <w:t xml:space="preserve">In planned retirement and resort communities where golf carts serve as primary transportation on an internal road network, the liability exposure resembles that of street-legal use even if the roads are technically private. These communities often have: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Higher traffic density — </w:t>
      </w:r>
      <w:r>
        <w:rPr>
          <w:rFonts w:ascii="Arial" w:cs="Arial" w:eastAsia="Arial" w:hAnsi="Arial"/>
          <w:color w:val="28382C"/>
          <w:sz w:val="22"/>
          <w:szCs w:val="22"/>
        </w:rPr>
        <w:t xml:space="preserve">dozens or hundreds of carts sharing a limited network of paths creates collision frequency comparable to a residential street</w:t>
      </w:r>
    </w:p>
    <w:p>
      <w:pPr>
        <w:pStyle w:val="ListParagraph"/>
        <w:numPr>
          <w:ilvl w:val="0"/>
          <w:numId w:val="2"/>
        </w:numPr>
        <w:spacing w:after="60" w:before="60"/>
      </w:pPr>
      <w:r>
        <w:rPr>
          <w:rFonts w:ascii="Arial" w:cs="Arial" w:eastAsia="Arial" w:hAnsi="Arial"/>
          <w:b/>
          <w:bCs/>
          <w:color w:val="2A5830"/>
          <w:sz w:val="22"/>
          <w:szCs w:val="22"/>
        </w:rPr>
        <w:t xml:space="preserve">Pedestrian interaction — </w:t>
      </w:r>
      <w:r>
        <w:rPr>
          <w:rFonts w:ascii="Arial" w:cs="Arial" w:eastAsia="Arial" w:hAnsi="Arial"/>
          <w:color w:val="28382C"/>
          <w:sz w:val="22"/>
          <w:szCs w:val="22"/>
        </w:rPr>
        <w:t xml:space="preserve">residents walking, cycling, and using the community amenities share the same network as cart traffic, creating pedestrian injury exposure</w:t>
      </w:r>
    </w:p>
    <w:p>
      <w:pPr>
        <w:pStyle w:val="ListParagraph"/>
        <w:numPr>
          <w:ilvl w:val="0"/>
          <w:numId w:val="2"/>
        </w:numPr>
        <w:spacing w:after="60" w:before="60"/>
      </w:pPr>
      <w:r>
        <w:rPr>
          <w:rFonts w:ascii="Arial" w:cs="Arial" w:eastAsia="Arial" w:hAnsi="Arial"/>
          <w:b/>
          <w:bCs/>
          <w:color w:val="2A5830"/>
          <w:sz w:val="22"/>
          <w:szCs w:val="22"/>
        </w:rPr>
        <w:t xml:space="preserve">Intersection and crossing risks — </w:t>
      </w:r>
      <w:r>
        <w:rPr>
          <w:rFonts w:ascii="Arial" w:cs="Arial" w:eastAsia="Arial" w:hAnsi="Arial"/>
          <w:color w:val="28382C"/>
          <w:sz w:val="22"/>
          <w:szCs w:val="22"/>
        </w:rPr>
        <w:t xml:space="preserve">community road networks with intersections, blind corners, and limited sight lines create higher collision risk than open golf course terrain</w:t>
      </w:r>
    </w:p>
    <w:p>
      <w:pPr>
        <w:pStyle w:val="ListParagraph"/>
        <w:numPr>
          <w:ilvl w:val="0"/>
          <w:numId w:val="2"/>
        </w:numPr>
        <w:spacing w:after="60" w:before="60"/>
      </w:pPr>
      <w:r>
        <w:rPr>
          <w:rFonts w:ascii="Arial" w:cs="Arial" w:eastAsia="Arial" w:hAnsi="Arial"/>
          <w:b/>
          <w:bCs/>
          <w:color w:val="2A5830"/>
          <w:sz w:val="22"/>
          <w:szCs w:val="22"/>
        </w:rPr>
        <w:t xml:space="preserve">Older operator demographics — </w:t>
      </w:r>
      <w:r>
        <w:rPr>
          <w:rFonts w:ascii="Arial" w:cs="Arial" w:eastAsia="Arial" w:hAnsi="Arial"/>
          <w:color w:val="28382C"/>
          <w:sz w:val="22"/>
          <w:szCs w:val="22"/>
        </w:rPr>
        <w:t xml:space="preserve">retirement community residents driving golf carts may have slower reaction times or physical limitations that increase accident probability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Community Roads Are Not the Golf Course</w:t>
            </w:r>
          </w:p>
          <w:p>
            <w:pPr>
              <w:spacing w:after="0" w:before="0"/>
            </w:pPr>
            <w:r>
              <w:rPr>
                <w:rFonts w:ascii="Arial" w:cs="Arial" w:eastAsia="Arial" w:hAnsi="Arial"/>
                <w:color w:val="5A1010"/>
                <w:sz w:val="20"/>
                <w:szCs w:val="20"/>
              </w:rPr>
              <w:t xml:space="preserve">Golf cart owners in planned communities who have only on-course coverage from their homeowners policy or a basic golf cart policy may have no coverage for incidents on community roads, even if those roads are private. Confirm that your policy explicitly covers the specific locations and road types where you operate your cart — not just “golf course use.”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160"/>
              <w:left w:type="dxa" w:w="240"/>
              <w:bottom w:type="dxa" w:w="160"/>
              <w:right w:type="dxa" w:w="240"/>
            </w:tcMar>
          </w:tcPr>
          <w:p>
            <w:pPr>
              <w:spacing w:after="0" w:before="0"/>
            </w:pPr>
            <w:r>
              <w:rPr>
                <w:rFonts w:ascii="Arial" w:cs="Arial" w:eastAsia="Arial" w:hAnsi="Arial"/>
                <w:b/>
                <w:bCs/>
                <w:color w:val="A8C8A8"/>
                <w:sz w:val="28"/>
                <w:szCs w:val="28"/>
              </w:rPr>
              <w:t xml:space="preserve">10.  </w:t>
            </w:r>
            <w:r>
              <w:rPr>
                <w:rFonts w:ascii="Arial" w:cs="Arial" w:eastAsia="Arial" w:hAnsi="Arial"/>
                <w:b/>
                <w:bCs/>
                <w:color w:val="FFFFFF"/>
                <w:sz w:val="28"/>
                <w:szCs w:val="28"/>
              </w:rPr>
              <w:t xml:space="preserve">Role of Golf Cart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01E14"/>
          <w:sz w:val="22"/>
          <w:szCs w:val="22"/>
        </w:rPr>
        <w:t xml:space="preserve">Golf cart insurance is a specialized, purpose-built coverage that fills a specific gap in a personal insurance program. It does not duplicate homeowners insurance, auto insurance, or any other standard personal insurance product — it covers the specific risks that those products either exclude entirely or address only in the most limited fashion. Understanding how golf cart insurance fits into the complete personal insurance picture ensures continuous, adequate protection.</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How Golf Cart Insurance Fits the Complete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1E2A3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6360"/>
            <w:tcBorders>
              <w:top w:val="single" w:color="90A898" w:sz="1"/>
              <w:left w:val="single" w:color="90A898" w:sz="1"/>
              <w:bottom w:val="single" w:color="90A898" w:sz="1"/>
              <w:right w:val="single" w:color="90A898" w:sz="1"/>
            </w:tcBorders>
            <w:shd w:fill="EAF3EA" w:val="clear"/>
            <w:tcMar>
              <w:top w:type="dxa" w:w="100"/>
              <w:left w:type="dxa" w:w="160"/>
              <w:bottom w:type="dxa" w:w="100"/>
              <w:right w:type="dxa" w:w="160"/>
            </w:tcMar>
          </w:tcPr>
          <w:p>
            <w:pPr>
              <w:spacing w:after="0" w:before="0"/>
            </w:pPr>
            <w:r>
              <w:rPr>
                <w:rFonts w:ascii="Arial" w:cs="Arial" w:eastAsia="Arial" w:hAnsi="Arial"/>
                <w:color w:val="28382C"/>
                <w:sz w:val="20"/>
                <w:szCs w:val="20"/>
              </w:rPr>
              <w:t xml:space="preserve">Excess personal liability above golf cart, auto, and homeowners limits. Confirm with umbrella carrier that golf cart liability is covered as an underlying policy. Critical for high-liability-exposure cart use in communities or on streets.</w:t>
            </w:r>
          </w:p>
        </w:tc>
      </w:tr>
      <w:tr>
        <w:tc>
          <w:tcPr>
            <w:tcW w:type="dxa" w:w="3000"/>
            <w:tcBorders>
              <w:top w:val="none" w:color="FFFFFF" w:sz="0"/>
              <w:left w:val="none" w:color="FFFFFF" w:sz="0"/>
              <w:bottom w:val="none" w:color="FFFFFF" w:sz="0"/>
              <w:right w:val="none" w:color="FFFFFF" w:sz="0"/>
            </w:tcBorders>
            <w:shd w:fill="1A3E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Golf Cart / LSV / NEV Policy</w:t>
            </w:r>
          </w:p>
        </w:tc>
        <w:tc>
          <w:tcPr>
            <w:tcW w:type="dxa" w:w="6360"/>
            <w:tcBorders>
              <w:top w:val="single" w:color="90A898" w:sz="1"/>
              <w:left w:val="single" w:color="90A898" w:sz="1"/>
              <w:bottom w:val="single" w:color="90A898" w:sz="1"/>
              <w:right w:val="single" w:color="90A898" w:sz="1"/>
            </w:tcBorders>
            <w:shd w:fill="FFFFFF" w:val="clear"/>
            <w:tcMar>
              <w:top w:type="dxa" w:w="100"/>
              <w:left w:type="dxa" w:w="160"/>
              <w:bottom w:type="dxa" w:w="100"/>
              <w:right w:type="dxa" w:w="160"/>
            </w:tcMar>
          </w:tcPr>
          <w:p>
            <w:pPr>
              <w:spacing w:after="0" w:before="0"/>
            </w:pPr>
            <w:r>
              <w:rPr>
                <w:rFonts w:ascii="Arial" w:cs="Arial" w:eastAsia="Arial" w:hAnsi="Arial"/>
                <w:color w:val="28382C"/>
                <w:sz w:val="20"/>
                <w:szCs w:val="20"/>
              </w:rPr>
              <w:t xml:space="preserve">Liability, collision, comprehensive, medical payments, and accessory coverage. The dedicated policy that covers all the risks that auto and homeowners policies exclude or severely limit for golf carts.</w:t>
            </w:r>
          </w:p>
        </w:tc>
      </w:tr>
      <w:tr>
        <w:tc>
          <w:tcPr>
            <w:tcW w:type="dxa" w:w="3000"/>
            <w:tcBorders>
              <w:top w:val="none" w:color="FFFFFF" w:sz="0"/>
              <w:left w:val="none" w:color="FFFFFF" w:sz="0"/>
              <w:bottom w:val="none" w:color="FFFFFF" w:sz="0"/>
              <w:right w:val="none" w:color="FFFFFF" w:sz="0"/>
            </w:tcBorders>
            <w:shd w:fill="2A583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Auto Insurance</w:t>
            </w:r>
          </w:p>
        </w:tc>
        <w:tc>
          <w:tcPr>
            <w:tcW w:type="dxa" w:w="6360"/>
            <w:tcBorders>
              <w:top w:val="single" w:color="90A898" w:sz="1"/>
              <w:left w:val="single" w:color="90A898" w:sz="1"/>
              <w:bottom w:val="single" w:color="90A898" w:sz="1"/>
              <w:right w:val="single" w:color="90A898" w:sz="1"/>
            </w:tcBorders>
            <w:shd w:fill="EAF3EA" w:val="clear"/>
            <w:tcMar>
              <w:top w:type="dxa" w:w="100"/>
              <w:left w:type="dxa" w:w="160"/>
              <w:bottom w:type="dxa" w:w="100"/>
              <w:right w:type="dxa" w:w="160"/>
            </w:tcMar>
          </w:tcPr>
          <w:p>
            <w:pPr>
              <w:spacing w:after="0" w:before="0"/>
            </w:pPr>
            <w:r>
              <w:rPr>
                <w:rFonts w:ascii="Arial" w:cs="Arial" w:eastAsia="Arial" w:hAnsi="Arial"/>
                <w:color w:val="28382C"/>
                <w:sz w:val="20"/>
                <w:szCs w:val="20"/>
              </w:rPr>
              <w:t xml:space="preserve">Covers automobiles and, in some states, registered LSVs/NEVs with auto policy endorsements. Does NOT cover standard golf carts. Operates separately from golf cart insurance.</w:t>
            </w:r>
          </w:p>
        </w:tc>
      </w:tr>
      <w:tr>
        <w:tc>
          <w:tcPr>
            <w:tcW w:type="dxa" w:w="3000"/>
            <w:tcBorders>
              <w:top w:val="none" w:color="FFFFFF" w:sz="0"/>
              <w:left w:val="none" w:color="FFFFFF" w:sz="0"/>
              <w:bottom w:val="none" w:color="FFFFFF" w:sz="0"/>
              <w:right w:val="none" w:color="FFFFFF" w:sz="0"/>
            </w:tcBorders>
            <w:shd w:fill="0A38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Insurance</w:t>
            </w:r>
          </w:p>
        </w:tc>
        <w:tc>
          <w:tcPr>
            <w:tcW w:type="dxa" w:w="6360"/>
            <w:tcBorders>
              <w:top w:val="single" w:color="90A898" w:sz="1"/>
              <w:left w:val="single" w:color="90A898" w:sz="1"/>
              <w:bottom w:val="single" w:color="90A898" w:sz="1"/>
              <w:right w:val="single" w:color="90A898" w:sz="1"/>
            </w:tcBorders>
            <w:shd w:fill="FFFFFF" w:val="clear"/>
            <w:tcMar>
              <w:top w:type="dxa" w:w="100"/>
              <w:left w:type="dxa" w:w="160"/>
              <w:bottom w:type="dxa" w:w="100"/>
              <w:right w:type="dxa" w:w="160"/>
            </w:tcMar>
          </w:tcPr>
          <w:p>
            <w:pPr>
              <w:spacing w:after="0" w:before="0"/>
            </w:pPr>
            <w:r>
              <w:rPr>
                <w:rFonts w:ascii="Arial" w:cs="Arial" w:eastAsia="Arial" w:hAnsi="Arial"/>
                <w:color w:val="28382C"/>
                <w:sz w:val="20"/>
                <w:szCs w:val="20"/>
              </w:rPr>
              <w:t xml:space="preserve">On-premises golf cart liability (limited) and golf course exception (limited). Provides no physical damage coverage for the cart. Requires golf cart insurance to fill all gaps for off-premises and street use.</w:t>
            </w:r>
          </w:p>
        </w:tc>
      </w:tr>
      <w:tr>
        <w:tc>
          <w:tcPr>
            <w:tcW w:type="dxa" w:w="3000"/>
            <w:tcBorders>
              <w:top w:val="none" w:color="FFFFFF" w:sz="0"/>
              <w:left w:val="none" w:color="FFFFFF" w:sz="0"/>
              <w:bottom w:val="none" w:color="FFFFFF" w:sz="0"/>
              <w:right w:val="none" w:color="FFFFFF" w:sz="0"/>
            </w:tcBorders>
            <w:shd w:fill="6A5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Articles Floater</w:t>
            </w:r>
          </w:p>
        </w:tc>
        <w:tc>
          <w:tcPr>
            <w:tcW w:type="dxa" w:w="6360"/>
            <w:tcBorders>
              <w:top w:val="single" w:color="90A898" w:sz="1"/>
              <w:left w:val="single" w:color="90A898" w:sz="1"/>
              <w:bottom w:val="single" w:color="90A898" w:sz="1"/>
              <w:right w:val="single" w:color="90A898" w:sz="1"/>
            </w:tcBorders>
            <w:shd w:fill="EAF3EA" w:val="clear"/>
            <w:tcMar>
              <w:top w:type="dxa" w:w="100"/>
              <w:left w:type="dxa" w:w="160"/>
              <w:bottom w:type="dxa" w:w="100"/>
              <w:right w:type="dxa" w:w="160"/>
            </w:tcMar>
          </w:tcPr>
          <w:p>
            <w:pPr>
              <w:spacing w:after="0" w:before="0"/>
            </w:pPr>
            <w:r>
              <w:rPr>
                <w:rFonts w:ascii="Arial" w:cs="Arial" w:eastAsia="Arial" w:hAnsi="Arial"/>
                <w:color w:val="28382C"/>
                <w:sz w:val="20"/>
                <w:szCs w:val="20"/>
              </w:rPr>
              <w:t xml:space="preserve">High-value accessories, custom equipment, or golf equipment stored in the cart. Supplements golf cart physical damage coverage for items that exceed standard accessory limits or require agreed value protection.</w:t>
            </w:r>
          </w:p>
        </w:tc>
      </w:tr>
    </w:tbl>
    <w:p>
      <w:pPr>
        <w:spacing w:after="0" w:before="12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Key Coordination Points Between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Golf cart policy and homeowners policy — </w:t>
      </w:r>
      <w:r>
        <w:rPr>
          <w:rFonts w:ascii="Arial" w:cs="Arial" w:eastAsia="Arial" w:hAnsi="Arial"/>
          <w:color w:val="28382C"/>
          <w:sz w:val="22"/>
          <w:szCs w:val="22"/>
        </w:rPr>
        <w:t xml:space="preserve">confirm that the golf cart policy provides liability coverage for all the locations where the cart is used; the homeowners policy fills coverage for on-premises incidents to some extent, but the golf cart policy should be primary for all cart-related claims</w:t>
      </w:r>
    </w:p>
    <w:p>
      <w:pPr>
        <w:pStyle w:val="ListParagraph"/>
        <w:numPr>
          <w:ilvl w:val="0"/>
          <w:numId w:val="2"/>
        </w:numPr>
        <w:spacing w:after="60" w:before="60"/>
      </w:pPr>
      <w:r>
        <w:rPr>
          <w:rFonts w:ascii="Arial" w:cs="Arial" w:eastAsia="Arial" w:hAnsi="Arial"/>
          <w:b/>
          <w:bCs/>
          <w:color w:val="2A5830"/>
          <w:sz w:val="22"/>
          <w:szCs w:val="22"/>
        </w:rPr>
        <w:t xml:space="preserve">Golf cart policy and personal umbrella — </w:t>
      </w:r>
      <w:r>
        <w:rPr>
          <w:rFonts w:ascii="Arial" w:cs="Arial" w:eastAsia="Arial" w:hAnsi="Arial"/>
          <w:color w:val="28382C"/>
          <w:sz w:val="22"/>
          <w:szCs w:val="22"/>
        </w:rPr>
        <w:t xml:space="preserve">confirm with your umbrella carrier that golf cart liability is an underlying covered policy for purposes of umbrella excess; some umbrella policies specifically exclude golf cart liability, which would create a gap above the golf cart policy limit</w:t>
      </w:r>
    </w:p>
    <w:p>
      <w:pPr>
        <w:pStyle w:val="ListParagraph"/>
        <w:numPr>
          <w:ilvl w:val="0"/>
          <w:numId w:val="2"/>
        </w:numPr>
        <w:spacing w:after="60" w:before="60"/>
      </w:pPr>
      <w:r>
        <w:rPr>
          <w:rFonts w:ascii="Arial" w:cs="Arial" w:eastAsia="Arial" w:hAnsi="Arial"/>
          <w:b/>
          <w:bCs/>
          <w:color w:val="2A5830"/>
          <w:sz w:val="22"/>
          <w:szCs w:val="22"/>
        </w:rPr>
        <w:t xml:space="preserve">LSV/NEV and auto policy coordination — </w:t>
      </w:r>
      <w:r>
        <w:rPr>
          <w:rFonts w:ascii="Arial" w:cs="Arial" w:eastAsia="Arial" w:hAnsi="Arial"/>
          <w:color w:val="28382C"/>
          <w:sz w:val="22"/>
          <w:szCs w:val="22"/>
        </w:rPr>
        <w:t xml:space="preserve">if your LSV or NEV has been registered as a motor vehicle and is covered under an auto policy, confirm that the auto policy adequately covers the LSV’s specific characteristics (low speed, open body, on-community-road use) rather than simply applying standard auto rating and coverage terms</w:t>
      </w:r>
    </w:p>
    <w:p>
      <w:pPr>
        <w:pStyle w:val="ListParagraph"/>
        <w:numPr>
          <w:ilvl w:val="0"/>
          <w:numId w:val="2"/>
        </w:numPr>
        <w:spacing w:after="60" w:before="60"/>
      </w:pPr>
      <w:r>
        <w:rPr>
          <w:rFonts w:ascii="Arial" w:cs="Arial" w:eastAsia="Arial" w:hAnsi="Arial"/>
          <w:b/>
          <w:bCs/>
          <w:color w:val="2A5830"/>
          <w:sz w:val="22"/>
          <w:szCs w:val="22"/>
        </w:rPr>
        <w:t xml:space="preserve">Multiple cart households — </w:t>
      </w:r>
      <w:r>
        <w:rPr>
          <w:rFonts w:ascii="Arial" w:cs="Arial" w:eastAsia="Arial" w:hAnsi="Arial"/>
          <w:color w:val="28382C"/>
          <w:sz w:val="22"/>
          <w:szCs w:val="22"/>
        </w:rPr>
        <w:t xml:space="preserve">households with more than one cart should confirm all carts are scheduled or blanket-covered under the golf cart policy; some policies provide coverage for specifically listed carts only and require additional endorsements for additional vehicles</w:t>
      </w:r>
    </w:p>
    <w:p>
      <w:pPr>
        <w:pStyle w:val="ListParagraph"/>
        <w:numPr>
          <w:ilvl w:val="0"/>
          <w:numId w:val="2"/>
        </w:numPr>
        <w:spacing w:after="60" w:before="60"/>
      </w:pPr>
      <w:r>
        <w:rPr>
          <w:rFonts w:ascii="Arial" w:cs="Arial" w:eastAsia="Arial" w:hAnsi="Arial"/>
          <w:b/>
          <w:bCs/>
          <w:color w:val="2A5830"/>
          <w:sz w:val="22"/>
          <w:szCs w:val="22"/>
        </w:rPr>
        <w:t xml:space="preserve">Vacation property carts — </w:t>
      </w:r>
      <w:r>
        <w:rPr>
          <w:rFonts w:ascii="Arial" w:cs="Arial" w:eastAsia="Arial" w:hAnsi="Arial"/>
          <w:color w:val="28382C"/>
          <w:sz w:val="22"/>
          <w:szCs w:val="22"/>
        </w:rPr>
        <w:t xml:space="preserve">carts kept at vacation homes or rental properties may not be automatically covered under a golf cart policy purchased for a primary residence; confirm that the policy covers the cart at all locations where it is stored and operated</w:t>
      </w:r>
    </w:p>
    <w:p>
      <w:pPr>
        <w:spacing w:after="0" w:before="100"/>
      </w:pPr>
      <w:r>
        <w:rPr>
          <w:rFonts w:ascii="Arial" w:cs="Arial" w:eastAsia="Arial" w:hAnsi="Arial"/>
        </w:rPr>
        <w:t xml:space="preserve"/>
      </w:r>
    </w:p>
    <w:p>
      <w:pPr>
        <w:pBdr>
          <w:bottom w:val="single" w:color="A8C8A8" w:sz="4" w:space="4"/>
        </w:pBdr>
        <w:spacing w:after="80" w:before="220"/>
      </w:pPr>
      <w:r>
        <w:rPr>
          <w:rFonts w:ascii="Arial" w:cs="Arial" w:eastAsia="Arial" w:hAnsi="Arial"/>
          <w:b/>
          <w:bCs/>
          <w:color w:val="1A3E20"/>
          <w:sz w:val="24"/>
          <w:szCs w:val="24"/>
        </w:rPr>
        <w:t xml:space="preserve">Annual Review Checklist for Golf Cart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A5830"/>
          <w:sz w:val="22"/>
          <w:szCs w:val="22"/>
        </w:rPr>
        <w:t xml:space="preserve">Update cart value annually — </w:t>
      </w:r>
      <w:r>
        <w:rPr>
          <w:rFonts w:ascii="Arial" w:cs="Arial" w:eastAsia="Arial" w:hAnsi="Arial"/>
          <w:color w:val="28382C"/>
          <w:sz w:val="22"/>
          <w:szCs w:val="22"/>
        </w:rPr>
        <w:t xml:space="preserve">golf cart values change as the market evolves and as modifications are added; confirm that physical damage coverage reflects the current replacement cost of the cart, including all accessories and custom equipment</w:t>
      </w:r>
    </w:p>
    <w:p>
      <w:pPr>
        <w:pStyle w:val="ListParagraph"/>
        <w:numPr>
          <w:ilvl w:val="0"/>
          <w:numId w:val="2"/>
        </w:numPr>
        <w:spacing w:after="60" w:before="60"/>
      </w:pPr>
      <w:r>
        <w:rPr>
          <w:rFonts w:ascii="Arial" w:cs="Arial" w:eastAsia="Arial" w:hAnsi="Arial"/>
          <w:b/>
          <w:bCs/>
          <w:color w:val="2A5830"/>
          <w:sz w:val="22"/>
          <w:szCs w:val="22"/>
        </w:rPr>
        <w:t xml:space="preserve">Confirm all use locations are covered — </w:t>
      </w:r>
      <w:r>
        <w:rPr>
          <w:rFonts w:ascii="Arial" w:cs="Arial" w:eastAsia="Arial" w:hAnsi="Arial"/>
          <w:color w:val="28382C"/>
          <w:sz w:val="22"/>
          <w:szCs w:val="22"/>
        </w:rPr>
        <w:t xml:space="preserve">if the cart is used at a new course, a new community, or a new vacation property, confirm that those locations are within the policy’s covered territory</w:t>
      </w:r>
    </w:p>
    <w:p>
      <w:pPr>
        <w:pStyle w:val="ListParagraph"/>
        <w:numPr>
          <w:ilvl w:val="0"/>
          <w:numId w:val="2"/>
        </w:numPr>
        <w:spacing w:after="60" w:before="60"/>
      </w:pPr>
      <w:r>
        <w:rPr>
          <w:rFonts w:ascii="Arial" w:cs="Arial" w:eastAsia="Arial" w:hAnsi="Arial"/>
          <w:b/>
          <w:bCs/>
          <w:color w:val="2A5830"/>
          <w:sz w:val="22"/>
          <w:szCs w:val="22"/>
        </w:rPr>
        <w:t xml:space="preserve">Review liability limits — </w:t>
      </w:r>
      <w:r>
        <w:rPr>
          <w:rFonts w:ascii="Arial" w:cs="Arial" w:eastAsia="Arial" w:hAnsi="Arial"/>
          <w:color w:val="28382C"/>
          <w:sz w:val="22"/>
          <w:szCs w:val="22"/>
        </w:rPr>
        <w:t xml:space="preserve">as liability exposure evolves — new community roads, children riding in the cart, increased cart use frequency — review whether liability limits are still adequate</w:t>
      </w:r>
    </w:p>
    <w:p>
      <w:pPr>
        <w:pStyle w:val="ListParagraph"/>
        <w:numPr>
          <w:ilvl w:val="0"/>
          <w:numId w:val="2"/>
        </w:numPr>
        <w:spacing w:after="60" w:before="60"/>
      </w:pPr>
      <w:r>
        <w:rPr>
          <w:rFonts w:ascii="Arial" w:cs="Arial" w:eastAsia="Arial" w:hAnsi="Arial"/>
          <w:b/>
          <w:bCs/>
          <w:color w:val="2A5830"/>
          <w:sz w:val="22"/>
          <w:szCs w:val="22"/>
        </w:rPr>
        <w:t xml:space="preserve">Confirm lender requirements — </w:t>
      </w:r>
      <w:r>
        <w:rPr>
          <w:rFonts w:ascii="Arial" w:cs="Arial" w:eastAsia="Arial" w:hAnsi="Arial"/>
          <w:color w:val="28382C"/>
          <w:sz w:val="22"/>
          <w:szCs w:val="22"/>
        </w:rPr>
        <w:t xml:space="preserve">if the cart was financed, confirm that the insurance meets the lender’s requirements for physical damage coverage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A30" w:sz="18"/>
              <w:bottom w:val="none" w:color="FFFFFF" w:sz="0"/>
              <w:right w:val="none" w:color="FFFFFF" w:sz="0"/>
            </w:tcBorders>
            <w:shd w:fill="FAF6EC" w:val="clear"/>
            <w:tcMar>
              <w:top w:type="dxa" w:w="110"/>
              <w:left w:type="dxa" w:w="200"/>
              <w:bottom w:type="dxa" w:w="110"/>
              <w:right w:type="dxa" w:w="160"/>
            </w:tcMar>
          </w:tcPr>
          <w:p>
            <w:pPr>
              <w:spacing w:after="60" w:before="0"/>
            </w:pPr>
            <w:r>
              <w:rPr>
                <w:rFonts w:ascii="Arial" w:cs="Arial" w:eastAsia="Arial" w:hAnsi="Arial"/>
                <w:b/>
                <w:bCs/>
                <w:caps/>
                <w:color w:val="6A5020"/>
                <w:sz w:val="19"/>
                <w:szCs w:val="19"/>
              </w:rPr>
              <w:t xml:space="preserve">Golf Cart Rental at Resorts and Courses</w:t>
            </w:r>
          </w:p>
          <w:p>
            <w:pPr>
              <w:spacing w:after="0" w:before="0"/>
            </w:pPr>
            <w:r>
              <w:rPr>
                <w:rFonts w:ascii="Arial" w:cs="Arial" w:eastAsia="Arial" w:hAnsi="Arial"/>
                <w:color w:val="4A3000"/>
                <w:sz w:val="20"/>
                <w:szCs w:val="20"/>
              </w:rPr>
              <w:t xml:space="preserve">When you rent a golf cart at a resort or golf course, you are generally not covered by your personal golf cart insurance for that rented vehicle — your policy covers your cart, not a rented one. Resort and course rental carts are typically covered by the resort’s or course’s own fleet liability program for property damage to the cart, but your personal liability for injuries caused while operating a rented cart may not be covered. Confirm with your insurance agent whether your golf cart policy or homeowners policy extends to rental cart liability exposure.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A5830" w:sz="18"/>
              <w:bottom w:val="none" w:color="FFFFFF" w:sz="0"/>
              <w:right w:val="none" w:color="FFFFFF" w:sz="0"/>
            </w:tcBorders>
            <w:shd w:fill="EAF3EA" w:val="clear"/>
            <w:tcMar>
              <w:top w:type="dxa" w:w="110"/>
              <w:left w:type="dxa" w:w="200"/>
              <w:bottom w:type="dxa" w:w="110"/>
              <w:right w:type="dxa" w:w="160"/>
            </w:tcMar>
          </w:tcPr>
          <w:p>
            <w:pPr>
              <w:spacing w:after="0" w:before="0"/>
            </w:pPr>
            <w:r>
              <w:rPr>
                <w:rFonts w:ascii="Arial" w:cs="Arial" w:eastAsia="Arial" w:hAnsi="Arial"/>
                <w:b/>
                <w:bCs/>
                <w:color w:val="1A3E20"/>
                <w:sz w:val="20"/>
                <w:szCs w:val="20"/>
              </w:rPr>
              <w:t xml:space="preserve">Key Takeaway: </w:t>
            </w:r>
            <w:r>
              <w:rPr>
                <w:rFonts w:ascii="Arial" w:cs="Arial" w:eastAsia="Arial" w:hAnsi="Arial"/>
                <w:color w:val="28382C"/>
                <w:sz w:val="20"/>
                <w:szCs w:val="20"/>
              </w:rPr>
              <w:t xml:space="preserve">Golf cart insurance fills a specific gap that no other personal insurance product adequately addresses. For any cart owner with meaningful value, off-premises use, or community road exposure, a dedicated golf cart policy is the essential coverage. Coordinate it with homeowners insurance and personal umbrella to create a complete, gap-free personal insurance program for the complete cart-owning lifestyle.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A3E20"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Enjoy Every Ride with the Right Coverage.</w:t>
            </w:r>
          </w:p>
          <w:p>
            <w:pPr>
              <w:spacing w:after="100" w:before="0"/>
            </w:pPr>
            <w:r>
              <w:rPr>
                <w:rFonts w:ascii="Arial" w:cs="Arial" w:eastAsia="Arial" w:hAnsi="Arial"/>
                <w:color w:val="A8C8A8"/>
                <w:sz w:val="22"/>
                <w:szCs w:val="22"/>
              </w:rPr>
              <w:t xml:space="preserve">Whether you’re playing 18 holes at your favorite course, cruising the streets of a retirement community, or exploring your property on a custom cart, the right golf cart insurance ensures that every ride is backed by proper financial protection. Daly &amp; Alexander Insurance helps golf cart and LSV owners find the right coverage for the way they use their vehicles.</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B8C8C0" w:sz="4" w:space="6"/>
        </w:pBdr>
        <w:spacing w:after="80" w:before="0"/>
      </w:pPr>
      <w:r>
        <w:rPr>
          <w:rFonts w:ascii="Arial" w:cs="Arial" w:eastAsia="Arial" w:hAnsi="Arial"/>
          <w:b/>
          <w:bCs/>
          <w:caps/>
          <w:color w:val="607068"/>
          <w:sz w:val="19"/>
          <w:szCs w:val="19"/>
        </w:rPr>
        <w:t xml:space="preserve">Disclaimer</w:t>
      </w:r>
    </w:p>
    <w:p>
      <w:pPr>
        <w:spacing w:after="120" w:before="0"/>
      </w:pPr>
      <w:r>
        <w:rPr>
          <w:rFonts w:ascii="Arial" w:cs="Arial" w:eastAsia="Arial" w:hAnsi="Arial"/>
          <w:color w:val="607068"/>
          <w:sz w:val="18"/>
          <w:szCs w:val="18"/>
        </w:rPr>
        <w:t xml:space="preserve">The information contained in this article is intended for general informational and educational purposes only and should not be construed as legal, financial, or insurance advice. Golf cart insurance requirements, LSV and NEV definitions, state road-use laws, and coverage terms vary significantly by state, municipality, vehicle type, carrier, and individual circumstances and are subject to change. State and local regulations governing golf cart and low-speed vehicle operation on public roads are particularly variable and change frequently. It is the sole responsibility of the reader to verify applicable state and local laws and to carefully review their individual insurance policy to determine the exact scope of coverage applicable to their specific vehicle and use pattern.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07068"/>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A8C8A8" w:sz="4" w:space="4"/>
      </w:pBdr>
      <w:spacing w:after="0" w:before="0"/>
    </w:pPr>
    <w:r>
      <w:rPr>
        <w:rFonts w:ascii="Arial" w:cs="Arial" w:eastAsia="Arial" w:hAnsi="Arial"/>
        <w:color w:val="607068"/>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A8C8A8" w:sz="4" w:space="6"/>
      </w:pBdr>
      <w:spacing w:after="0" w:before="0"/>
    </w:pPr>
    <w:r>
      <w:rPr>
        <w:rFonts w:ascii="Arial" w:cs="Arial" w:eastAsia="Arial" w:hAnsi="Arial"/>
        <w:b/>
        <w:bCs/>
        <w:color w:val="2A5830"/>
        <w:sz w:val="18"/>
        <w:szCs w:val="18"/>
      </w:rPr>
      <w:t xml:space="preserve">GOLF CART INSURANCE GUIDE</w:t>
    </w:r>
    <w:r>
      <w:rPr>
        <w:rFonts w:ascii="Arial" w:cs="Arial" w:eastAsia="Arial" w:hAnsi="Arial"/>
        <w:color w:val="607068"/>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A3E20"/>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A5830"/>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2026-05-06T08:27:37.385Z</dcterms:created>
  <dcterms:modified xsi:type="dcterms:W3CDTF">2026-05-06T08:27:37.402Z</dcterms:modified>
</cp:coreProperties>
</file>

<file path=docProps/custom.xml><?xml version="1.0" encoding="utf-8"?>
<Properties xmlns="http://schemas.openxmlformats.org/officeDocument/2006/custom-properties" xmlns:vt="http://schemas.openxmlformats.org/officeDocument/2006/docPropsVTypes"/>
</file>