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Bdr>
          <w:bottom w:val="single" w:color="9A4428" w:sz="8" w:space="8"/>
        </w:pBdr>
        <w:spacing w:after="80" w:before="0"/>
        <w:jc w:val="center"/>
      </w:pPr>
      <w:r>
        <w:rPr>
          <w:rFonts w:ascii="Arial" w:cs="Arial" w:eastAsia="Arial" w:hAnsi="Arial"/>
          <w:b/>
          <w:bCs/>
          <w:color w:val="1A2E48"/>
          <w:sz w:val="42"/>
          <w:szCs w:val="42"/>
        </w:rPr>
        <w:t xml:space="preserve">HOMEOWNERS INSURANCE COVERAGE GUIDE</w:t>
      </w:r>
    </w:p>
    <w:p>
      <w:pPr>
        <w:spacing w:after="60" w:before="120"/>
        <w:jc w:val="center"/>
      </w:pPr>
      <w:r>
        <w:rPr>
          <w:rFonts w:ascii="Arial" w:cs="Arial" w:eastAsia="Arial" w:hAnsi="Arial"/>
          <w:i/>
          <w:iCs/>
          <w:color w:val="2C3848"/>
          <w:sz w:val="24"/>
          <w:szCs w:val="24"/>
        </w:rPr>
        <w:t xml:space="preserve">Coverages A through F, Policy Forms, Perils &amp; Valuation — Everything Homeowners Need to Know</w:t>
      </w:r>
    </w:p>
    <w:p>
      <w:pPr>
        <w:spacing w:after="0" w:before="0"/>
        <w:jc w:val="center"/>
      </w:pPr>
      <w:r>
        <w:rPr>
          <w:rFonts w:ascii="Arial" w:cs="Arial" w:eastAsia="Arial" w:hAnsi="Arial"/>
          <w:color w:val="687280"/>
          <w:sz w:val="20"/>
          <w:szCs w:val="20"/>
        </w:rPr>
        <w:t xml:space="preserve">Daly &amp; Alexander Insurance  |  www.dalyandalexander.com</w:t>
      </w:r>
    </w:p>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9A4428" w:sz="18"/>
              <w:bottom w:val="none" w:color="FFFFFF" w:sz="0"/>
              <w:right w:val="none" w:color="FFFFFF" w:sz="0"/>
            </w:tcBorders>
            <w:shd w:fill="FDF4EF" w:val="clear"/>
            <w:tcMar>
              <w:top w:type="dxa" w:w="140"/>
              <w:left w:type="dxa" w:w="240"/>
              <w:bottom w:type="dxa" w:w="140"/>
              <w:right w:type="dxa" w:w="240"/>
            </w:tcMar>
          </w:tcPr>
          <w:p>
            <w:pPr>
              <w:spacing w:after="100" w:before="0"/>
            </w:pPr>
            <w:r>
              <w:rPr>
                <w:rFonts w:ascii="Arial" w:cs="Arial" w:eastAsia="Arial" w:hAnsi="Arial"/>
                <w:color w:val="2C3848"/>
                <w:sz w:val="22"/>
                <w:szCs w:val="22"/>
              </w:rPr>
              <w:t xml:space="preserve">A homeowners insurance policy is one of the most important financial protections a person can own — yet most homeowners have never read their policy in full and do not fully understand what it covers, what it excludes, and how claims are paid. The difference between a policy that makes you whole after a loss and one that leaves you tens of thousands of dollars short often comes down to understanding a few key coverage provisions.</w:t>
            </w:r>
          </w:p>
          <w:p>
            <w:pPr>
              <w:spacing w:after="0" w:before="0"/>
            </w:pPr>
            <w:r>
              <w:rPr>
                <w:rFonts w:ascii="Arial" w:cs="Arial" w:eastAsia="Arial" w:hAnsi="Arial"/>
                <w:color w:val="2C3848"/>
                <w:sz w:val="22"/>
                <w:szCs w:val="22"/>
              </w:rPr>
              <w:t xml:space="preserve">This guide walks through every major coverage component of a standard homeowners policy — Coverages A through F — plus the critical concepts of policy forms, covered perils, and valuation methods that determine how claims are paid.</w:t>
            </w:r>
          </w:p>
        </w:tc>
      </w:tr>
    </w:tbl>
    <w:p>
      <w:pPr>
        <w:spacing w:after="0" w:before="200"/>
      </w:pPr>
      <w:r>
        <w:rPr>
          <w:rFonts w:ascii="Arial" w:cs="Arial" w:eastAsia="Arial" w:hAnsi="Arial"/>
        </w:rPr>
        <w:t xml:space="preserve"/>
      </w:r>
    </w:p>
    <w:p>
      <w:pPr>
        <w:spacing w:after="80" w:before="80"/>
      </w:pPr>
      <w:r>
        <w:rPr>
          <w:rFonts w:ascii="Arial" w:cs="Arial" w:eastAsia="Arial" w:hAnsi="Arial"/>
          <w:b/>
          <w:bCs/>
          <w:caps/>
          <w:color w:val="2A4468"/>
          <w:sz w:val="22"/>
          <w:szCs w:val="22"/>
        </w:rPr>
        <w:t xml:space="preserve">THE SIX COVERAGES AT A GLANCE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A0B4C8" w:sz="1"/>
              <w:left w:val="single" w:color="A0B4C8" w:sz="1"/>
              <w:bottom w:val="single" w:color="A0B4C8" w:sz="1"/>
              <w:right w:val="single" w:color="A0B4C8" w:sz="1"/>
            </w:tcBorders>
            <w:shd w:fill="EAF0F5" w:val="clear"/>
            <w:tcMar>
              <w:top w:type="dxa" w:w="110"/>
              <w:left w:type="dxa" w:w="160"/>
              <w:bottom w:type="dxa" w:w="110"/>
              <w:right w:type="dxa" w:w="160"/>
            </w:tcMar>
          </w:tcPr>
          <w:p>
            <w:pPr>
              <w:spacing w:after="60" w:before="0"/>
            </w:pPr>
            <w:r>
              <w:rPr>
                <w:rFonts w:ascii="Arial" w:cs="Arial" w:eastAsia="Arial" w:hAnsi="Arial"/>
                <w:b/>
                <w:bCs/>
                <w:color w:val="1A2E48"/>
                <w:sz w:val="22"/>
                <w:szCs w:val="22"/>
              </w:rPr>
              <w:t xml:space="preserve">Coverage A  </w:t>
            </w:r>
            <w:r>
              <w:rPr>
                <w:rFonts w:ascii="Arial" w:cs="Arial" w:eastAsia="Arial" w:hAnsi="Arial"/>
                <w:b/>
                <w:bCs/>
                <w:color w:val="7A3018"/>
                <w:sz w:val="20"/>
                <w:szCs w:val="20"/>
              </w:rPr>
              <w:t xml:space="preserve">Dwelling</w:t>
            </w:r>
          </w:p>
          <w:p>
            <w:pPr>
              <w:spacing w:after="60" w:before="0"/>
            </w:pPr>
            <w:r>
              <w:rPr>
                <w:rFonts w:ascii="Arial" w:cs="Arial" w:eastAsia="Arial" w:hAnsi="Arial"/>
                <w:color w:val="2C3848"/>
                <w:sz w:val="19"/>
                <w:szCs w:val="19"/>
              </w:rPr>
              <w:t xml:space="preserve">The physical structure of the home — walls, roof, floors, built-in systems, and attached structures</w:t>
            </w:r>
          </w:p>
          <w:p>
            <w:pPr>
              <w:spacing w:after="0" w:before="0"/>
            </w:pPr>
            <w:r>
              <w:rPr>
                <w:rFonts w:ascii="Arial" w:cs="Arial" w:eastAsia="Arial" w:hAnsi="Arial"/>
                <w:b/>
                <w:bCs/>
                <w:color w:val="2A4468"/>
                <w:sz w:val="18"/>
                <w:szCs w:val="18"/>
              </w:rPr>
              <w:t xml:space="preserve">Typical limit: Replacement cost of the home</w:t>
            </w:r>
          </w:p>
        </w:tc>
        <w:tc>
          <w:tcPr>
            <w:tcW w:type="dxa" w:w="4620"/>
            <w:tcBorders>
              <w:top w:val="single" w:color="A0B4C8" w:sz="1"/>
              <w:left w:val="single" w:color="A0B4C8" w:sz="1"/>
              <w:bottom w:val="single" w:color="A0B4C8" w:sz="1"/>
              <w:right w:val="single" w:color="A0B4C8" w:sz="1"/>
            </w:tcBorders>
            <w:shd w:fill="EAF0F5" w:val="clear"/>
            <w:tcMar>
              <w:top w:type="dxa" w:w="110"/>
              <w:left w:type="dxa" w:w="160"/>
              <w:bottom w:type="dxa" w:w="110"/>
              <w:right w:type="dxa" w:w="160"/>
            </w:tcMar>
          </w:tcPr>
          <w:p>
            <w:pPr>
              <w:spacing w:after="60" w:before="0"/>
            </w:pPr>
            <w:r>
              <w:rPr>
                <w:rFonts w:ascii="Arial" w:cs="Arial" w:eastAsia="Arial" w:hAnsi="Arial"/>
                <w:b/>
                <w:bCs/>
                <w:color w:val="1A2E48"/>
                <w:sz w:val="22"/>
                <w:szCs w:val="22"/>
              </w:rPr>
              <w:t xml:space="preserve">Coverage B  </w:t>
            </w:r>
            <w:r>
              <w:rPr>
                <w:rFonts w:ascii="Arial" w:cs="Arial" w:eastAsia="Arial" w:hAnsi="Arial"/>
                <w:b/>
                <w:bCs/>
                <w:color w:val="7A3018"/>
                <w:sz w:val="20"/>
                <w:szCs w:val="20"/>
              </w:rPr>
              <w:t xml:space="preserve">Other Structures</w:t>
            </w:r>
          </w:p>
          <w:p>
            <w:pPr>
              <w:spacing w:after="60" w:before="0"/>
            </w:pPr>
            <w:r>
              <w:rPr>
                <w:rFonts w:ascii="Arial" w:cs="Arial" w:eastAsia="Arial" w:hAnsi="Arial"/>
                <w:color w:val="2C3848"/>
                <w:sz w:val="19"/>
                <w:szCs w:val="19"/>
              </w:rPr>
              <w:t xml:space="preserve">Detached structures on the property — garages, fences, sheds, pools</w:t>
            </w:r>
          </w:p>
          <w:p>
            <w:pPr>
              <w:spacing w:after="0" w:before="0"/>
            </w:pPr>
            <w:r>
              <w:rPr>
                <w:rFonts w:ascii="Arial" w:cs="Arial" w:eastAsia="Arial" w:hAnsi="Arial"/>
                <w:b/>
                <w:bCs/>
                <w:color w:val="2A4468"/>
                <w:sz w:val="18"/>
                <w:szCs w:val="18"/>
              </w:rPr>
              <w:t xml:space="preserve">Typical limit: 10% of Coverage A</w:t>
            </w:r>
          </w:p>
        </w:tc>
      </w:tr>
      <w:tr>
        <w:tc>
          <w:tcPr>
            <w:tcW w:type="dxa" w:w="4620"/>
            <w:tcBorders>
              <w:top w:val="single" w:color="A0B4C8" w:sz="1"/>
              <w:left w:val="single" w:color="A0B4C8" w:sz="1"/>
              <w:bottom w:val="single" w:color="A0B4C8" w:sz="1"/>
              <w:right w:val="single" w:color="A0B4C8" w:sz="1"/>
            </w:tcBorders>
            <w:shd w:fill="EAF0F5" w:val="clear"/>
            <w:tcMar>
              <w:top w:type="dxa" w:w="110"/>
              <w:left w:type="dxa" w:w="160"/>
              <w:bottom w:type="dxa" w:w="110"/>
              <w:right w:type="dxa" w:w="160"/>
            </w:tcMar>
          </w:tcPr>
          <w:p>
            <w:pPr>
              <w:spacing w:after="60" w:before="0"/>
            </w:pPr>
            <w:r>
              <w:rPr>
                <w:rFonts w:ascii="Arial" w:cs="Arial" w:eastAsia="Arial" w:hAnsi="Arial"/>
                <w:b/>
                <w:bCs/>
                <w:color w:val="1A2E48"/>
                <w:sz w:val="22"/>
                <w:szCs w:val="22"/>
              </w:rPr>
              <w:t xml:space="preserve">Coverage C  </w:t>
            </w:r>
            <w:r>
              <w:rPr>
                <w:rFonts w:ascii="Arial" w:cs="Arial" w:eastAsia="Arial" w:hAnsi="Arial"/>
                <w:b/>
                <w:bCs/>
                <w:color w:val="7A3018"/>
                <w:sz w:val="20"/>
                <w:szCs w:val="20"/>
              </w:rPr>
              <w:t xml:space="preserve">Personal Property</w:t>
            </w:r>
          </w:p>
          <w:p>
            <w:pPr>
              <w:spacing w:after="60" w:before="0"/>
            </w:pPr>
            <w:r>
              <w:rPr>
                <w:rFonts w:ascii="Arial" w:cs="Arial" w:eastAsia="Arial" w:hAnsi="Arial"/>
                <w:color w:val="2C3848"/>
                <w:sz w:val="19"/>
                <w:szCs w:val="19"/>
              </w:rPr>
              <w:t xml:space="preserve">Furniture, clothing, electronics, appliances, and all personal belongings</w:t>
            </w:r>
          </w:p>
          <w:p>
            <w:pPr>
              <w:spacing w:after="0" w:before="0"/>
            </w:pPr>
            <w:r>
              <w:rPr>
                <w:rFonts w:ascii="Arial" w:cs="Arial" w:eastAsia="Arial" w:hAnsi="Arial"/>
                <w:b/>
                <w:bCs/>
                <w:color w:val="2A4468"/>
                <w:sz w:val="18"/>
                <w:szCs w:val="18"/>
              </w:rPr>
              <w:t xml:space="preserve">Typical limit: 50–70% of Coverage A</w:t>
            </w:r>
          </w:p>
        </w:tc>
        <w:tc>
          <w:tcPr>
            <w:tcW w:type="dxa" w:w="4620"/>
            <w:tcBorders>
              <w:top w:val="single" w:color="A0B4C8" w:sz="1"/>
              <w:left w:val="single" w:color="A0B4C8" w:sz="1"/>
              <w:bottom w:val="single" w:color="A0B4C8" w:sz="1"/>
              <w:right w:val="single" w:color="A0B4C8" w:sz="1"/>
            </w:tcBorders>
            <w:shd w:fill="EAF0F5" w:val="clear"/>
            <w:tcMar>
              <w:top w:type="dxa" w:w="110"/>
              <w:left w:type="dxa" w:w="160"/>
              <w:bottom w:type="dxa" w:w="110"/>
              <w:right w:type="dxa" w:w="160"/>
            </w:tcMar>
          </w:tcPr>
          <w:p>
            <w:pPr>
              <w:spacing w:after="60" w:before="0"/>
            </w:pPr>
            <w:r>
              <w:rPr>
                <w:rFonts w:ascii="Arial" w:cs="Arial" w:eastAsia="Arial" w:hAnsi="Arial"/>
                <w:b/>
                <w:bCs/>
                <w:color w:val="1A2E48"/>
                <w:sz w:val="22"/>
                <w:szCs w:val="22"/>
              </w:rPr>
              <w:t xml:space="preserve">Coverage D  </w:t>
            </w:r>
            <w:r>
              <w:rPr>
                <w:rFonts w:ascii="Arial" w:cs="Arial" w:eastAsia="Arial" w:hAnsi="Arial"/>
                <w:b/>
                <w:bCs/>
                <w:color w:val="7A3018"/>
                <w:sz w:val="20"/>
                <w:szCs w:val="20"/>
              </w:rPr>
              <w:t xml:space="preserve">Loss of Use / ALE</w:t>
            </w:r>
          </w:p>
          <w:p>
            <w:pPr>
              <w:spacing w:after="60" w:before="0"/>
            </w:pPr>
            <w:r>
              <w:rPr>
                <w:rFonts w:ascii="Arial" w:cs="Arial" w:eastAsia="Arial" w:hAnsi="Arial"/>
                <w:color w:val="2C3848"/>
                <w:sz w:val="19"/>
                <w:szCs w:val="19"/>
              </w:rPr>
              <w:t xml:space="preserve">Additional living expenses when home is uninhabitable due to a covered loss</w:t>
            </w:r>
          </w:p>
          <w:p>
            <w:pPr>
              <w:spacing w:after="0" w:before="0"/>
            </w:pPr>
            <w:r>
              <w:rPr>
                <w:rFonts w:ascii="Arial" w:cs="Arial" w:eastAsia="Arial" w:hAnsi="Arial"/>
                <w:b/>
                <w:bCs/>
                <w:color w:val="2A4468"/>
                <w:sz w:val="18"/>
                <w:szCs w:val="18"/>
              </w:rPr>
              <w:t xml:space="preserve">Typical limit: 20–30% of Coverage A</w:t>
            </w:r>
          </w:p>
        </w:tc>
      </w:tr>
      <w:tr>
        <w:tc>
          <w:tcPr>
            <w:tcW w:type="dxa" w:w="4620"/>
            <w:tcBorders>
              <w:top w:val="single" w:color="A0B4C8" w:sz="1"/>
              <w:left w:val="single" w:color="A0B4C8" w:sz="1"/>
              <w:bottom w:val="single" w:color="A0B4C8" w:sz="1"/>
              <w:right w:val="single" w:color="A0B4C8" w:sz="1"/>
            </w:tcBorders>
            <w:shd w:fill="EAF0F5" w:val="clear"/>
            <w:tcMar>
              <w:top w:type="dxa" w:w="110"/>
              <w:left w:type="dxa" w:w="160"/>
              <w:bottom w:type="dxa" w:w="110"/>
              <w:right w:type="dxa" w:w="160"/>
            </w:tcMar>
          </w:tcPr>
          <w:p>
            <w:pPr>
              <w:spacing w:after="60" w:before="0"/>
            </w:pPr>
            <w:r>
              <w:rPr>
                <w:rFonts w:ascii="Arial" w:cs="Arial" w:eastAsia="Arial" w:hAnsi="Arial"/>
                <w:b/>
                <w:bCs/>
                <w:color w:val="1A2E48"/>
                <w:sz w:val="22"/>
                <w:szCs w:val="22"/>
              </w:rPr>
              <w:t xml:space="preserve">Coverage E  </w:t>
            </w:r>
            <w:r>
              <w:rPr>
                <w:rFonts w:ascii="Arial" w:cs="Arial" w:eastAsia="Arial" w:hAnsi="Arial"/>
                <w:b/>
                <w:bCs/>
                <w:color w:val="7A3018"/>
                <w:sz w:val="20"/>
                <w:szCs w:val="20"/>
              </w:rPr>
              <w:t xml:space="preserve">Personal Liability</w:t>
            </w:r>
          </w:p>
          <w:p>
            <w:pPr>
              <w:spacing w:after="60" w:before="0"/>
            </w:pPr>
            <w:r>
              <w:rPr>
                <w:rFonts w:ascii="Arial" w:cs="Arial" w:eastAsia="Arial" w:hAnsi="Arial"/>
                <w:color w:val="2C3848"/>
                <w:sz w:val="19"/>
                <w:szCs w:val="19"/>
              </w:rPr>
              <w:t xml:space="preserve">Legal defense and damages for bodily injury and property damage claims against the homeowner</w:t>
            </w:r>
          </w:p>
          <w:p>
            <w:pPr>
              <w:spacing w:after="0" w:before="0"/>
            </w:pPr>
            <w:r>
              <w:rPr>
                <w:rFonts w:ascii="Arial" w:cs="Arial" w:eastAsia="Arial" w:hAnsi="Arial"/>
                <w:b/>
                <w:bCs/>
                <w:color w:val="2A4468"/>
                <w:sz w:val="18"/>
                <w:szCs w:val="18"/>
              </w:rPr>
              <w:t xml:space="preserve">Typical limit: $100,000–$300,000+</w:t>
            </w:r>
          </w:p>
        </w:tc>
        <w:tc>
          <w:tcPr>
            <w:tcW w:type="dxa" w:w="4620"/>
            <w:tcBorders>
              <w:top w:val="single" w:color="A0B4C8" w:sz="1"/>
              <w:left w:val="single" w:color="A0B4C8" w:sz="1"/>
              <w:bottom w:val="single" w:color="A0B4C8" w:sz="1"/>
              <w:right w:val="single" w:color="A0B4C8" w:sz="1"/>
            </w:tcBorders>
            <w:shd w:fill="EAF0F5" w:val="clear"/>
            <w:tcMar>
              <w:top w:type="dxa" w:w="110"/>
              <w:left w:type="dxa" w:w="160"/>
              <w:bottom w:type="dxa" w:w="110"/>
              <w:right w:type="dxa" w:w="160"/>
            </w:tcMar>
          </w:tcPr>
          <w:p>
            <w:pPr>
              <w:spacing w:after="60" w:before="0"/>
            </w:pPr>
            <w:r>
              <w:rPr>
                <w:rFonts w:ascii="Arial" w:cs="Arial" w:eastAsia="Arial" w:hAnsi="Arial"/>
                <w:b/>
                <w:bCs/>
                <w:color w:val="1A2E48"/>
                <w:sz w:val="22"/>
                <w:szCs w:val="22"/>
              </w:rPr>
              <w:t xml:space="preserve">Coverage F  </w:t>
            </w:r>
            <w:r>
              <w:rPr>
                <w:rFonts w:ascii="Arial" w:cs="Arial" w:eastAsia="Arial" w:hAnsi="Arial"/>
                <w:b/>
                <w:bCs/>
                <w:color w:val="7A3018"/>
                <w:sz w:val="20"/>
                <w:szCs w:val="20"/>
              </w:rPr>
              <w:t xml:space="preserve">Medical Payments</w:t>
            </w:r>
          </w:p>
          <w:p>
            <w:pPr>
              <w:spacing w:after="60" w:before="0"/>
            </w:pPr>
            <w:r>
              <w:rPr>
                <w:rFonts w:ascii="Arial" w:cs="Arial" w:eastAsia="Arial" w:hAnsi="Arial"/>
                <w:color w:val="2C3848"/>
                <w:sz w:val="19"/>
                <w:szCs w:val="19"/>
              </w:rPr>
              <w:t xml:space="preserve">Medical expenses for guests injured on the property, regardless of fault</w:t>
            </w:r>
          </w:p>
          <w:p>
            <w:pPr>
              <w:spacing w:after="0" w:before="0"/>
            </w:pPr>
            <w:r>
              <w:rPr>
                <w:rFonts w:ascii="Arial" w:cs="Arial" w:eastAsia="Arial" w:hAnsi="Arial"/>
                <w:b/>
                <w:bCs/>
                <w:color w:val="2A4468"/>
                <w:sz w:val="18"/>
                <w:szCs w:val="18"/>
              </w:rPr>
              <w:t xml:space="preserve">Typical limit: $1,000–$5,000</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A2E48" w:val="clear"/>
            <w:tcMar>
              <w:top w:type="dxa" w:w="160"/>
              <w:left w:type="dxa" w:w="240"/>
              <w:bottom w:type="dxa" w:w="160"/>
              <w:right w:type="dxa" w:w="240"/>
            </w:tcMar>
          </w:tcPr>
          <w:p>
            <w:pPr>
              <w:spacing w:after="0" w:before="0"/>
            </w:pPr>
            <w:r>
              <w:rPr>
                <w:rFonts w:ascii="Arial" w:cs="Arial" w:eastAsia="Arial" w:hAnsi="Arial"/>
                <w:b/>
                <w:bCs/>
                <w:color w:val="AABCCC"/>
                <w:sz w:val="22"/>
                <w:szCs w:val="22"/>
              </w:rPr>
              <w:t xml:space="preserve">Coverage A  |  </w:t>
            </w:r>
            <w:r>
              <w:rPr>
                <w:rFonts w:ascii="Arial" w:cs="Arial" w:eastAsia="Arial" w:hAnsi="Arial"/>
                <w:b/>
                <w:bCs/>
                <w:color w:val="FFFFFF"/>
                <w:sz w:val="28"/>
                <w:szCs w:val="28"/>
              </w:rPr>
              <w:t xml:space="preserve">Dwelling Coverage</w:t>
            </w:r>
          </w:p>
        </w:tc>
      </w:tr>
    </w:tbl>
    <w:p>
      <w:pPr>
        <w:spacing w:after="0" w:before="100"/>
      </w:pPr>
      <w:r>
        <w:rPr>
          <w:rFonts w:ascii="Arial" w:cs="Arial" w:eastAsia="Arial" w:hAnsi="Arial"/>
        </w:rPr>
        <w:t xml:space="preserve"/>
      </w:r>
    </w:p>
    <w:p>
      <w:pPr>
        <w:spacing w:after="110" w:before="80"/>
      </w:pPr>
      <w:r>
        <w:rPr>
          <w:rFonts w:ascii="Arial" w:cs="Arial" w:eastAsia="Arial" w:hAnsi="Arial"/>
          <w:color w:val="141C28"/>
          <w:sz w:val="22"/>
          <w:szCs w:val="22"/>
        </w:rPr>
        <w:t xml:space="preserve">Coverage A is the foundation of a homeowners policy. It covers the physical structure of the insured’s home — the walls, roof, floors, ceilings, built-in appliances, plumbing, electrical systems, HVAC, and all permanently installed components that make up the dwelling. When a covered peril damages or destroys the home, Coverage A pays to repair or rebuild the structure up to the policy limit.</w:t>
      </w:r>
    </w:p>
    <w:p>
      <w:pPr>
        <w:spacing w:after="0" w:before="80"/>
      </w:pPr>
      <w:r>
        <w:rPr>
          <w:rFonts w:ascii="Arial" w:cs="Arial" w:eastAsia="Arial" w:hAnsi="Arial"/>
        </w:rPr>
        <w:t xml:space="preserve"/>
      </w:r>
    </w:p>
    <w:p>
      <w:pPr>
        <w:spacing w:after="110" w:before="80"/>
      </w:pPr>
      <w:r>
        <w:rPr>
          <w:rFonts w:ascii="Arial" w:cs="Arial" w:eastAsia="Arial" w:hAnsi="Arial"/>
          <w:color w:val="141C28"/>
          <w:sz w:val="22"/>
          <w:szCs w:val="22"/>
        </w:rPr>
        <w:t xml:space="preserve">Coverage A applies to the main dwelling structure and any structures attached to it — an attached garage, a covered porch, a sun room, or an addition are all part of the covered dwelling. Detached structures (a freestanding garage, a shed, a fence) are covered separately under Coverage B.</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A0B4C8" w:sz="1"/>
              <w:left w:val="single" w:color="A0B4C8" w:sz="1"/>
              <w:bottom w:val="single" w:color="A0B4C8" w:sz="1"/>
              <w:right w:val="single" w:color="A0B4C8" w:sz="1"/>
            </w:tcBorders>
            <w:shd w:fill="EAF0F5" w:val="clear"/>
            <w:tcMar>
              <w:top w:type="dxa" w:w="110"/>
              <w:left w:type="dxa" w:w="160"/>
              <w:bottom w:type="dxa" w:w="110"/>
              <w:right w:type="dxa" w:w="160"/>
            </w:tcMar>
          </w:tcPr>
          <w:p>
            <w:pPr>
              <w:spacing w:after="60" w:before="0"/>
            </w:pPr>
            <w:r>
              <w:rPr>
                <w:rFonts w:ascii="Arial" w:cs="Arial" w:eastAsia="Arial" w:hAnsi="Arial"/>
                <w:b/>
                <w:bCs/>
                <w:color w:val="2A4468"/>
                <w:sz w:val="19"/>
                <w:szCs w:val="19"/>
              </w:rPr>
              <w:t xml:space="preserve">What Coverage A Covers</w:t>
            </w:r>
          </w:p>
          <w:p>
            <w:pPr>
              <w:spacing w:after="0" w:before="0"/>
            </w:pPr>
            <w:r>
              <w:rPr>
                <w:rFonts w:ascii="Arial" w:cs="Arial" w:eastAsia="Arial" w:hAnsi="Arial"/>
                <w:color w:val="2C3848"/>
                <w:sz w:val="20"/>
                <w:szCs w:val="20"/>
              </w:rPr>
              <w:t xml:space="preserve">The home’s structure: walls, roof, foundation, floors, ceilings, windows, doors, built-in appliances (dishwasher, stove), plumbing fixtures, HVAC systems, electrical panels, and all permanently attached components of the dwelling.</w:t>
            </w:r>
          </w:p>
        </w:tc>
        <w:tc>
          <w:tcPr>
            <w:tcW w:type="dxa" w:w="4620"/>
            <w:tcBorders>
              <w:top w:val="single" w:color="A0B4C8" w:sz="1"/>
              <w:left w:val="single" w:color="A0B4C8" w:sz="1"/>
              <w:bottom w:val="single" w:color="A0B4C8" w:sz="1"/>
              <w:right w:val="single" w:color="A0B4C8" w:sz="1"/>
            </w:tcBorders>
            <w:shd w:fill="EAF0F5" w:val="clear"/>
            <w:tcMar>
              <w:top w:type="dxa" w:w="110"/>
              <w:left w:type="dxa" w:w="160"/>
              <w:bottom w:type="dxa" w:w="110"/>
              <w:right w:type="dxa" w:w="160"/>
            </w:tcMar>
          </w:tcPr>
          <w:p>
            <w:pPr>
              <w:spacing w:after="60" w:before="0"/>
            </w:pPr>
            <w:r>
              <w:rPr>
                <w:rFonts w:ascii="Arial" w:cs="Arial" w:eastAsia="Arial" w:hAnsi="Arial"/>
                <w:b/>
                <w:bCs/>
                <w:color w:val="2A4468"/>
                <w:sz w:val="19"/>
                <w:szCs w:val="19"/>
              </w:rPr>
              <w:t xml:space="preserve">What Coverage A Does NOT Cover</w:t>
            </w:r>
          </w:p>
          <w:p>
            <w:pPr>
              <w:spacing w:after="0" w:before="0"/>
            </w:pPr>
            <w:r>
              <w:rPr>
                <w:rFonts w:ascii="Arial" w:cs="Arial" w:eastAsia="Arial" w:hAnsi="Arial"/>
                <w:color w:val="2C3848"/>
                <w:sz w:val="20"/>
                <w:szCs w:val="20"/>
              </w:rPr>
              <w:t xml:space="preserve">Land value (the lot itself), personal property, detached structures, and damage caused by excluded perils such as flood, earthquake, gradual deterioration, mold from ongoing moisture, or poor maintenance.</w:t>
            </w:r>
          </w:p>
        </w:tc>
      </w:tr>
      <w:tr>
        <w:tc>
          <w:tcPr>
            <w:tcW w:type="dxa" w:w="4620"/>
            <w:tcBorders>
              <w:top w:val="single" w:color="A0B4C8" w:sz="1"/>
              <w:left w:val="single" w:color="A0B4C8" w:sz="1"/>
              <w:bottom w:val="single" w:color="A0B4C8" w:sz="1"/>
              <w:right w:val="single" w:color="A0B4C8" w:sz="1"/>
            </w:tcBorders>
            <w:shd w:fill="EAF0F5" w:val="clear"/>
            <w:tcMar>
              <w:top w:type="dxa" w:w="110"/>
              <w:left w:type="dxa" w:w="160"/>
              <w:bottom w:type="dxa" w:w="110"/>
              <w:right w:type="dxa" w:w="160"/>
            </w:tcMar>
          </w:tcPr>
          <w:p>
            <w:pPr>
              <w:spacing w:after="60" w:before="0"/>
            </w:pPr>
            <w:r>
              <w:rPr>
                <w:rFonts w:ascii="Arial" w:cs="Arial" w:eastAsia="Arial" w:hAnsi="Arial"/>
                <w:b/>
                <w:bCs/>
                <w:color w:val="2A4468"/>
                <w:sz w:val="19"/>
                <w:szCs w:val="19"/>
              </w:rPr>
              <w:t xml:space="preserve">How the Limit Is Set</w:t>
            </w:r>
          </w:p>
          <w:p>
            <w:pPr>
              <w:spacing w:after="0" w:before="0"/>
            </w:pPr>
            <w:r>
              <w:rPr>
                <w:rFonts w:ascii="Arial" w:cs="Arial" w:eastAsia="Arial" w:hAnsi="Arial"/>
                <w:color w:val="2C3848"/>
                <w:sz w:val="20"/>
                <w:szCs w:val="20"/>
              </w:rPr>
              <w:t xml:space="preserve">The Coverage A limit should equal the full replacement cost — what it would cost to rebuild the home from the ground up at current construction costs. This is often significantly different from (and higher than) the market value of the home, which includes land value and neighborhood comparables.</w:t>
            </w:r>
          </w:p>
        </w:tc>
        <w:tc>
          <w:tcPr>
            <w:tcW w:type="dxa" w:w="4620"/>
            <w:tcBorders>
              <w:top w:val="single" w:color="A0B4C8" w:sz="1"/>
              <w:left w:val="single" w:color="A0B4C8" w:sz="1"/>
              <w:bottom w:val="single" w:color="A0B4C8" w:sz="1"/>
              <w:right w:val="single" w:color="A0B4C8" w:sz="1"/>
            </w:tcBorders>
            <w:shd w:fill="EAF0F5" w:val="clear"/>
            <w:tcMar>
              <w:top w:type="dxa" w:w="110"/>
              <w:left w:type="dxa" w:w="160"/>
              <w:bottom w:type="dxa" w:w="110"/>
              <w:right w:type="dxa" w:w="160"/>
            </w:tcMar>
          </w:tcPr>
          <w:p>
            <w:pPr>
              <w:spacing w:after="60" w:before="0"/>
            </w:pPr>
            <w:r>
              <w:rPr>
                <w:rFonts w:ascii="Arial" w:cs="Arial" w:eastAsia="Arial" w:hAnsi="Arial"/>
                <w:b/>
                <w:bCs/>
                <w:color w:val="2A4468"/>
                <w:sz w:val="19"/>
                <w:szCs w:val="19"/>
              </w:rPr>
              <w:t xml:space="preserve">Replacement Cost vs. ACV</w:t>
            </w:r>
          </w:p>
          <w:p>
            <w:pPr>
              <w:spacing w:after="0" w:before="0"/>
            </w:pPr>
            <w:r>
              <w:rPr>
                <w:rFonts w:ascii="Arial" w:cs="Arial" w:eastAsia="Arial" w:hAnsi="Arial"/>
                <w:color w:val="2C3848"/>
                <w:sz w:val="20"/>
                <w:szCs w:val="20"/>
              </w:rPr>
              <w:t xml:space="preserve">Coverage A can be written on a replacement cost (RC) or actual cash value (ACV) basis. Replacement cost pays to rebuild using new materials without deducting for depreciation. ACV deducts depreciation, which can leave the homeowner significantly short of rebuild costs on an older home. RC coverage is strongly recommended.</w:t>
            </w:r>
          </w:p>
        </w:tc>
      </w:tr>
    </w:tbl>
    <w:p>
      <w:pPr>
        <w:spacing w:after="0" w:before="100"/>
      </w:pPr>
      <w:r>
        <w:rPr>
          <w:rFonts w:ascii="Arial" w:cs="Arial" w:eastAsia="Arial" w:hAnsi="Arial"/>
        </w:rPr>
        <w:t xml:space="preserve"/>
      </w:r>
    </w:p>
    <w:p>
      <w:pPr>
        <w:pBdr>
          <w:bottom w:val="single" w:color="AABCCC" w:sz="4" w:space="4"/>
        </w:pBdr>
        <w:spacing w:after="80" w:before="220"/>
      </w:pPr>
      <w:r>
        <w:rPr>
          <w:rFonts w:ascii="Arial" w:cs="Arial" w:eastAsia="Arial" w:hAnsi="Arial"/>
          <w:b/>
          <w:bCs/>
          <w:color w:val="1A2E48"/>
          <w:sz w:val="24"/>
          <w:szCs w:val="24"/>
        </w:rPr>
        <w:t xml:space="preserve">The Replacement Cost Calculation Problem</w:t>
      </w:r>
    </w:p>
    <w:p>
      <w:pPr>
        <w:spacing w:after="110" w:before="80"/>
      </w:pPr>
      <w:r>
        <w:rPr>
          <w:rFonts w:ascii="Arial" w:cs="Arial" w:eastAsia="Arial" w:hAnsi="Arial"/>
          <w:color w:val="141C28"/>
          <w:sz w:val="22"/>
          <w:szCs w:val="22"/>
        </w:rPr>
        <w:t xml:space="preserve">One of the most common and dangerous coverage gaps in homeowners insurance is underinsurance on Coverage A. Many homeowners set their dwelling limit at the home’s purchase price, its tax-assessed value, or its market value — none of which accurately reflects the cost to rebuild the structure. Construction costs include labor, materials, permits, debris removal, code upgrades, and architect fees, all of which have risen significantly in recent years.</w:t>
      </w:r>
    </w:p>
    <w:p>
      <w:pPr>
        <w:spacing w:after="0" w:before="80"/>
      </w:pPr>
      <w:r>
        <w:rPr>
          <w:rFonts w:ascii="Arial" w:cs="Arial" w:eastAsia="Arial" w:hAnsi="Arial"/>
        </w:rPr>
        <w:t xml:space="preserve"/>
      </w:r>
    </w:p>
    <w:p>
      <w:pPr>
        <w:spacing w:after="110" w:before="80"/>
      </w:pPr>
      <w:r>
        <w:rPr>
          <w:rFonts w:ascii="Arial" w:cs="Arial" w:eastAsia="Arial" w:hAnsi="Arial"/>
          <w:color w:val="141C28"/>
          <w:sz w:val="22"/>
          <w:szCs w:val="22"/>
        </w:rPr>
        <w:t xml:space="preserve">A home purchased for $350,000 in a market with high land values might have a dwelling replacement cost of $450,000 to $550,000 — and that gap grows every year as construction costs increase. Insurance companies typically provide replacement cost estimators at policy inception and renewal; homeowners should use these tools and update coverage limits annually.</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B1A1A" w:sz="18"/>
              <w:bottom w:val="none" w:color="FFFFFF" w:sz="0"/>
              <w:right w:val="none" w:color="FFFFFF" w:sz="0"/>
            </w:tcBorders>
            <w:shd w:fill="FDF0F0" w:val="clear"/>
            <w:tcMar>
              <w:top w:type="dxa" w:w="110"/>
              <w:left w:type="dxa" w:w="200"/>
              <w:bottom w:type="dxa" w:w="110"/>
              <w:right w:type="dxa" w:w="160"/>
            </w:tcMar>
          </w:tcPr>
          <w:p>
            <w:pPr>
              <w:spacing w:after="60" w:before="0"/>
            </w:pPr>
            <w:r>
              <w:rPr>
                <w:rFonts w:ascii="Arial" w:cs="Arial" w:eastAsia="Arial" w:hAnsi="Arial"/>
                <w:b/>
                <w:bCs/>
                <w:caps/>
                <w:color w:val="8B1A1A"/>
                <w:sz w:val="19"/>
                <w:szCs w:val="19"/>
              </w:rPr>
              <w:t xml:space="preserve">The Underinsurance Penalty</w:t>
            </w:r>
          </w:p>
          <w:p>
            <w:pPr>
              <w:spacing w:after="0" w:before="0"/>
            </w:pPr>
            <w:r>
              <w:rPr>
                <w:rFonts w:ascii="Arial" w:cs="Arial" w:eastAsia="Arial" w:hAnsi="Arial"/>
                <w:color w:val="5A1010"/>
                <w:sz w:val="20"/>
                <w:szCs w:val="20"/>
              </w:rPr>
              <w:t xml:space="preserve">Most homeowners policies contain a coinsurance provision that requires the home to be insured to at least 80% of its replacement cost. If the home is insured below 80% of replacement cost and a partial loss occurs, the insurer will pay only a proportional share of the loss — not the full repair cost up to the limit. A home worth $500,000 to replace that is insured for only $300,000 (60%) may receive only 75% of any repair claim instead of 100%. Always insure to 100% of replacement cost.</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A4468" w:sz="18"/>
              <w:bottom w:val="none" w:color="FFFFFF" w:sz="0"/>
              <w:right w:val="none" w:color="FFFFFF" w:sz="0"/>
            </w:tcBorders>
            <w:shd w:fill="EAF0F5" w:val="clear"/>
            <w:tcMar>
              <w:top w:type="dxa" w:w="110"/>
              <w:left w:type="dxa" w:w="200"/>
              <w:bottom w:type="dxa" w:w="110"/>
              <w:right w:type="dxa" w:w="160"/>
            </w:tcMar>
          </w:tcPr>
          <w:p>
            <w:pPr>
              <w:spacing w:after="0" w:before="0"/>
            </w:pPr>
            <w:r>
              <w:rPr>
                <w:rFonts w:ascii="Arial" w:cs="Arial" w:eastAsia="Arial" w:hAnsi="Arial"/>
                <w:b/>
                <w:bCs/>
                <w:color w:val="1A2E48"/>
                <w:sz w:val="20"/>
                <w:szCs w:val="20"/>
              </w:rPr>
              <w:t xml:space="preserve">Key Takeaway: </w:t>
            </w:r>
            <w:r>
              <w:rPr>
                <w:rFonts w:ascii="Arial" w:cs="Arial" w:eastAsia="Arial" w:hAnsi="Arial"/>
                <w:color w:val="2C3848"/>
                <w:sz w:val="20"/>
                <w:szCs w:val="20"/>
              </w:rPr>
              <w:t xml:space="preserve">Coverage A is the most important coverage in a homeowners policy. Set the limit at the full replacement cost of the dwelling — not the market value, not the purchase price, not the mortgage balance. Review and update this limit every year, as construction costs change and the home’s replacement value grows.</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A2E48" w:val="clear"/>
            <w:tcMar>
              <w:top w:type="dxa" w:w="160"/>
              <w:left w:type="dxa" w:w="240"/>
              <w:bottom w:type="dxa" w:w="160"/>
              <w:right w:type="dxa" w:w="240"/>
            </w:tcMar>
          </w:tcPr>
          <w:p>
            <w:pPr>
              <w:spacing w:after="0" w:before="0"/>
            </w:pPr>
            <w:r>
              <w:rPr>
                <w:rFonts w:ascii="Arial" w:cs="Arial" w:eastAsia="Arial" w:hAnsi="Arial"/>
                <w:b/>
                <w:bCs/>
                <w:color w:val="AABCCC"/>
                <w:sz w:val="22"/>
                <w:szCs w:val="22"/>
              </w:rPr>
              <w:t xml:space="preserve">Coverage B  |  </w:t>
            </w:r>
            <w:r>
              <w:rPr>
                <w:rFonts w:ascii="Arial" w:cs="Arial" w:eastAsia="Arial" w:hAnsi="Arial"/>
                <w:b/>
                <w:bCs/>
                <w:color w:val="FFFFFF"/>
                <w:sz w:val="28"/>
                <w:szCs w:val="28"/>
              </w:rPr>
              <w:t xml:space="preserve">Other Structures Coverage</w:t>
            </w:r>
          </w:p>
        </w:tc>
      </w:tr>
    </w:tbl>
    <w:p>
      <w:pPr>
        <w:spacing w:after="0" w:before="100"/>
      </w:pPr>
      <w:r>
        <w:rPr>
          <w:rFonts w:ascii="Arial" w:cs="Arial" w:eastAsia="Arial" w:hAnsi="Arial"/>
        </w:rPr>
        <w:t xml:space="preserve"/>
      </w:r>
    </w:p>
    <w:p>
      <w:pPr>
        <w:spacing w:after="110" w:before="80"/>
      </w:pPr>
      <w:r>
        <w:rPr>
          <w:rFonts w:ascii="Arial" w:cs="Arial" w:eastAsia="Arial" w:hAnsi="Arial"/>
          <w:color w:val="141C28"/>
          <w:sz w:val="22"/>
          <w:szCs w:val="22"/>
        </w:rPr>
        <w:t xml:space="preserve">Coverage B covers structures on the insured property that are not attached to the main dwelling. While Coverage A protects the home itself, Coverage B extends that protection to the additional structures that make up the complete property — the detached garage, the backyard shed, the pool house, the fence, the driveway, and any other structure that is physically separated from the dwelling.</w:t>
      </w:r>
    </w:p>
    <w:p>
      <w:pPr>
        <w:spacing w:after="0" w:before="80"/>
      </w:pPr>
      <w:r>
        <w:rPr>
          <w:rFonts w:ascii="Arial" w:cs="Arial" w:eastAsia="Arial" w:hAnsi="Arial"/>
        </w:rPr>
        <w:t xml:space="preserve"/>
      </w:r>
    </w:p>
    <w:p>
      <w:pPr>
        <w:spacing w:after="110" w:before="80"/>
      </w:pPr>
      <w:r>
        <w:rPr>
          <w:rFonts w:ascii="Arial" w:cs="Arial" w:eastAsia="Arial" w:hAnsi="Arial"/>
          <w:color w:val="141C28"/>
          <w:sz w:val="22"/>
          <w:szCs w:val="22"/>
        </w:rPr>
        <w:t xml:space="preserve">The standard Coverage B limit is 10% of the Coverage A dwelling limit, automatically included in most standard homeowners policies. This means a home insured for $400,000 under Coverage A automatically has $40,000 in Coverage B for other structures — enough for many properties but potentially insufficient for those with substantial outbuildings.</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A0B4C8" w:sz="1"/>
              <w:left w:val="single" w:color="A0B4C8" w:sz="1"/>
              <w:bottom w:val="single" w:color="A0B4C8" w:sz="1"/>
              <w:right w:val="single" w:color="A0B4C8" w:sz="1"/>
            </w:tcBorders>
            <w:shd w:fill="EAF0F5" w:val="clear"/>
            <w:tcMar>
              <w:top w:type="dxa" w:w="110"/>
              <w:left w:type="dxa" w:w="160"/>
              <w:bottom w:type="dxa" w:w="110"/>
              <w:right w:type="dxa" w:w="160"/>
            </w:tcMar>
          </w:tcPr>
          <w:p>
            <w:pPr>
              <w:spacing w:after="60" w:before="0"/>
            </w:pPr>
            <w:r>
              <w:rPr>
                <w:rFonts w:ascii="Arial" w:cs="Arial" w:eastAsia="Arial" w:hAnsi="Arial"/>
                <w:b/>
                <w:bCs/>
                <w:color w:val="2A4468"/>
                <w:sz w:val="19"/>
                <w:szCs w:val="19"/>
              </w:rPr>
              <w:t xml:space="preserve">What Coverage B Covers</w:t>
            </w:r>
          </w:p>
          <w:p>
            <w:pPr>
              <w:spacing w:after="0" w:before="0"/>
            </w:pPr>
            <w:r>
              <w:rPr>
                <w:rFonts w:ascii="Arial" w:cs="Arial" w:eastAsia="Arial" w:hAnsi="Arial"/>
                <w:color w:val="2C3848"/>
                <w:sz w:val="20"/>
                <w:szCs w:val="20"/>
              </w:rPr>
              <w:t xml:space="preserve">Detached garages, carports, fences, gazebos, storage sheds, swimming pools and pool enclosures, sport courts, guest houses (not rented), and any other structure on the premises not attached to the main dwelling and not used for business purposes.</w:t>
            </w:r>
          </w:p>
        </w:tc>
        <w:tc>
          <w:tcPr>
            <w:tcW w:type="dxa" w:w="4620"/>
            <w:tcBorders>
              <w:top w:val="single" w:color="A0B4C8" w:sz="1"/>
              <w:left w:val="single" w:color="A0B4C8" w:sz="1"/>
              <w:bottom w:val="single" w:color="A0B4C8" w:sz="1"/>
              <w:right w:val="single" w:color="A0B4C8" w:sz="1"/>
            </w:tcBorders>
            <w:shd w:fill="EAF0F5" w:val="clear"/>
            <w:tcMar>
              <w:top w:type="dxa" w:w="110"/>
              <w:left w:type="dxa" w:w="160"/>
              <w:bottom w:type="dxa" w:w="110"/>
              <w:right w:type="dxa" w:w="160"/>
            </w:tcMar>
          </w:tcPr>
          <w:p>
            <w:pPr>
              <w:spacing w:after="60" w:before="0"/>
            </w:pPr>
            <w:r>
              <w:rPr>
                <w:rFonts w:ascii="Arial" w:cs="Arial" w:eastAsia="Arial" w:hAnsi="Arial"/>
                <w:b/>
                <w:bCs/>
                <w:color w:val="2A4468"/>
                <w:sz w:val="19"/>
                <w:szCs w:val="19"/>
              </w:rPr>
              <w:t xml:space="preserve">What Coverage B Does NOT Cover</w:t>
            </w:r>
          </w:p>
          <w:p>
            <w:pPr>
              <w:spacing w:after="0" w:before="0"/>
            </w:pPr>
            <w:r>
              <w:rPr>
                <w:rFonts w:ascii="Arial" w:cs="Arial" w:eastAsia="Arial" w:hAnsi="Arial"/>
                <w:color w:val="2C3848"/>
                <w:sz w:val="20"/>
                <w:szCs w:val="20"/>
              </w:rPr>
              <w:t xml:space="preserve">Structures rented to anyone who is not a tenant of the main dwelling, structures used primarily for business purposes, and any structure specifically excluded by the policy. A workshop rented to a local business, or a garage apartment generating rental income, typically falls outside Coverage B.</w:t>
            </w:r>
          </w:p>
        </w:tc>
      </w:tr>
      <w:tr>
        <w:tc>
          <w:tcPr>
            <w:tcW w:type="dxa" w:w="4620"/>
            <w:tcBorders>
              <w:top w:val="single" w:color="A0B4C8" w:sz="1"/>
              <w:left w:val="single" w:color="A0B4C8" w:sz="1"/>
              <w:bottom w:val="single" w:color="A0B4C8" w:sz="1"/>
              <w:right w:val="single" w:color="A0B4C8" w:sz="1"/>
            </w:tcBorders>
            <w:shd w:fill="EAF0F5" w:val="clear"/>
            <w:tcMar>
              <w:top w:type="dxa" w:w="110"/>
              <w:left w:type="dxa" w:w="160"/>
              <w:bottom w:type="dxa" w:w="110"/>
              <w:right w:type="dxa" w:w="160"/>
            </w:tcMar>
          </w:tcPr>
          <w:p>
            <w:pPr>
              <w:spacing w:after="60" w:before="0"/>
            </w:pPr>
            <w:r>
              <w:rPr>
                <w:rFonts w:ascii="Arial" w:cs="Arial" w:eastAsia="Arial" w:hAnsi="Arial"/>
                <w:b/>
                <w:bCs/>
                <w:color w:val="2A4468"/>
                <w:sz w:val="19"/>
                <w:szCs w:val="19"/>
              </w:rPr>
              <w:t xml:space="preserve">Standard Limit</w:t>
            </w:r>
          </w:p>
          <w:p>
            <w:pPr>
              <w:spacing w:after="0" w:before="0"/>
            </w:pPr>
            <w:r>
              <w:rPr>
                <w:rFonts w:ascii="Arial" w:cs="Arial" w:eastAsia="Arial" w:hAnsi="Arial"/>
                <w:color w:val="2C3848"/>
                <w:sz w:val="20"/>
                <w:szCs w:val="20"/>
              </w:rPr>
              <w:t xml:space="preserve">10% of the Coverage A limit in most standard HO-3 policies. If Coverage A is $500,000, Coverage B provides $50,000 for other structures. This limit can typically be increased by endorsement if significant detached structures exist on the property.</w:t>
            </w:r>
          </w:p>
        </w:tc>
        <w:tc>
          <w:tcPr>
            <w:tcW w:type="dxa" w:w="4620"/>
            <w:tcBorders>
              <w:top w:val="single" w:color="A0B4C8" w:sz="1"/>
              <w:left w:val="single" w:color="A0B4C8" w:sz="1"/>
              <w:bottom w:val="single" w:color="A0B4C8" w:sz="1"/>
              <w:right w:val="single" w:color="A0B4C8" w:sz="1"/>
            </w:tcBorders>
            <w:shd w:fill="EAF0F5" w:val="clear"/>
            <w:tcMar>
              <w:top w:type="dxa" w:w="110"/>
              <w:left w:type="dxa" w:w="160"/>
              <w:bottom w:type="dxa" w:w="110"/>
              <w:right w:type="dxa" w:w="160"/>
            </w:tcMar>
          </w:tcPr>
          <w:p>
            <w:pPr>
              <w:spacing w:after="60" w:before="0"/>
            </w:pPr>
            <w:r>
              <w:rPr>
                <w:rFonts w:ascii="Arial" w:cs="Arial" w:eastAsia="Arial" w:hAnsi="Arial"/>
                <w:b/>
                <w:bCs/>
                <w:color w:val="2A4468"/>
                <w:sz w:val="19"/>
                <w:szCs w:val="19"/>
              </w:rPr>
              <w:t xml:space="preserve">When 10% Is Not Enough</w:t>
            </w:r>
          </w:p>
          <w:p>
            <w:pPr>
              <w:spacing w:after="0" w:before="0"/>
            </w:pPr>
            <w:r>
              <w:rPr>
                <w:rFonts w:ascii="Arial" w:cs="Arial" w:eastAsia="Arial" w:hAnsi="Arial"/>
                <w:color w:val="2C3848"/>
                <w:sz w:val="20"/>
                <w:szCs w:val="20"/>
              </w:rPr>
              <w:t xml:space="preserve">Properties with a large detached garage ($60,000–$100,000+ replacement cost), a guest cottage, a barn, a substantial fence system, a pool with a pool house, or multiple outbuildings may find the standard 10% limit inadequate. Evaluate the true replacement cost of all other structures and increase Coverage B if needed.</w:t>
            </w:r>
          </w:p>
        </w:tc>
      </w:tr>
    </w:tbl>
    <w:p>
      <w:pPr>
        <w:spacing w:after="0" w:before="100"/>
      </w:pPr>
      <w:r>
        <w:rPr>
          <w:rFonts w:ascii="Arial" w:cs="Arial" w:eastAsia="Arial" w:hAnsi="Arial"/>
        </w:rPr>
        <w:t xml:space="preserve"/>
      </w:r>
    </w:p>
    <w:p>
      <w:pPr>
        <w:pBdr>
          <w:bottom w:val="single" w:color="AABCCC" w:sz="4" w:space="4"/>
        </w:pBdr>
        <w:spacing w:after="80" w:before="220"/>
      </w:pPr>
      <w:r>
        <w:rPr>
          <w:rFonts w:ascii="Arial" w:cs="Arial" w:eastAsia="Arial" w:hAnsi="Arial"/>
          <w:b/>
          <w:bCs/>
          <w:color w:val="1A2E48"/>
          <w:sz w:val="24"/>
          <w:szCs w:val="24"/>
        </w:rPr>
        <w:t xml:space="preserve">Structures That May Not Be Covered Under Coverage B</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2A4468"/>
          <w:sz w:val="22"/>
          <w:szCs w:val="22"/>
        </w:rPr>
        <w:t xml:space="preserve">Business use structures — </w:t>
      </w:r>
      <w:r>
        <w:rPr>
          <w:rFonts w:ascii="Arial" w:cs="Arial" w:eastAsia="Arial" w:hAnsi="Arial"/>
          <w:color w:val="2C3848"/>
          <w:sz w:val="22"/>
          <w:szCs w:val="22"/>
        </w:rPr>
        <w:t xml:space="preserve">a detached office, workshop, or studio used primarily for business activities may be excluded from Coverage B and require a commercial property endorsement or separate business policy</w:t>
      </w:r>
    </w:p>
    <w:p>
      <w:pPr>
        <w:pStyle w:val="ListParagraph"/>
        <w:numPr>
          <w:ilvl w:val="0"/>
          <w:numId w:val="2"/>
        </w:numPr>
        <w:spacing w:after="60" w:before="60"/>
      </w:pPr>
      <w:r>
        <w:rPr>
          <w:rFonts w:ascii="Arial" w:cs="Arial" w:eastAsia="Arial" w:hAnsi="Arial"/>
          <w:b/>
          <w:bCs/>
          <w:color w:val="2A4468"/>
          <w:sz w:val="22"/>
          <w:szCs w:val="22"/>
        </w:rPr>
        <w:t xml:space="preserve">Rental structures — </w:t>
      </w:r>
      <w:r>
        <w:rPr>
          <w:rFonts w:ascii="Arial" w:cs="Arial" w:eastAsia="Arial" w:hAnsi="Arial"/>
          <w:color w:val="2C3848"/>
          <w:sz w:val="22"/>
          <w:szCs w:val="22"/>
        </w:rPr>
        <w:t xml:space="preserve">a garage apartment, a carriage house, or any other structure on the property rented to a third party (who does not also rent the main home) is typically excluded from Coverage B and requires a landlord or dwelling fire policy</w:t>
      </w:r>
    </w:p>
    <w:p>
      <w:pPr>
        <w:pStyle w:val="ListParagraph"/>
        <w:numPr>
          <w:ilvl w:val="0"/>
          <w:numId w:val="2"/>
        </w:numPr>
        <w:spacing w:after="60" w:before="60"/>
      </w:pPr>
      <w:r>
        <w:rPr>
          <w:rFonts w:ascii="Arial" w:cs="Arial" w:eastAsia="Arial" w:hAnsi="Arial"/>
          <w:b/>
          <w:bCs/>
          <w:color w:val="2A4468"/>
          <w:sz w:val="22"/>
          <w:szCs w:val="22"/>
        </w:rPr>
        <w:t xml:space="preserve">Structures owned by others — </w:t>
      </w:r>
      <w:r>
        <w:rPr>
          <w:rFonts w:ascii="Arial" w:cs="Arial" w:eastAsia="Arial" w:hAnsi="Arial"/>
          <w:color w:val="2C3848"/>
          <w:sz w:val="22"/>
          <w:szCs w:val="22"/>
        </w:rPr>
        <w:t xml:space="preserve">a structure placed on the property by a utility company, a neighbor, or another third party is not covered under Coverage B</w:t>
      </w:r>
    </w:p>
    <w:p>
      <w:pPr>
        <w:pStyle w:val="ListParagraph"/>
        <w:numPr>
          <w:ilvl w:val="0"/>
          <w:numId w:val="2"/>
        </w:numPr>
        <w:spacing w:after="60" w:before="60"/>
      </w:pPr>
      <w:r>
        <w:rPr>
          <w:rFonts w:ascii="Arial" w:cs="Arial" w:eastAsia="Arial" w:hAnsi="Arial"/>
          <w:b/>
          <w:bCs/>
          <w:color w:val="2A4468"/>
          <w:sz w:val="22"/>
          <w:szCs w:val="22"/>
        </w:rPr>
        <w:t xml:space="preserve">Fences and retaining walls — </w:t>
      </w:r>
      <w:r>
        <w:rPr>
          <w:rFonts w:ascii="Arial" w:cs="Arial" w:eastAsia="Arial" w:hAnsi="Arial"/>
          <w:color w:val="2C3848"/>
          <w:sz w:val="22"/>
          <w:szCs w:val="22"/>
        </w:rPr>
        <w:t xml:space="preserve">while generally covered, check policy language on fences and retaining walls as some policies have specific provisions or exclusions for certain types of boundary structures</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A4468" w:sz="18"/>
              <w:bottom w:val="none" w:color="FFFFFF" w:sz="0"/>
              <w:right w:val="none" w:color="FFFFFF" w:sz="0"/>
            </w:tcBorders>
            <w:shd w:fill="EAF0F5" w:val="clear"/>
            <w:tcMar>
              <w:top w:type="dxa" w:w="110"/>
              <w:left w:type="dxa" w:w="200"/>
              <w:bottom w:type="dxa" w:w="110"/>
              <w:right w:type="dxa" w:w="160"/>
            </w:tcMar>
          </w:tcPr>
          <w:p>
            <w:pPr>
              <w:spacing w:after="0" w:before="0"/>
            </w:pPr>
            <w:r>
              <w:rPr>
                <w:rFonts w:ascii="Arial" w:cs="Arial" w:eastAsia="Arial" w:hAnsi="Arial"/>
                <w:b/>
                <w:bCs/>
                <w:color w:val="1A2E48"/>
                <w:sz w:val="20"/>
                <w:szCs w:val="20"/>
              </w:rPr>
              <w:t xml:space="preserve">Key Takeaway: </w:t>
            </w:r>
            <w:r>
              <w:rPr>
                <w:rFonts w:ascii="Arial" w:cs="Arial" w:eastAsia="Arial" w:hAnsi="Arial"/>
                <w:color w:val="2C3848"/>
                <w:sz w:val="20"/>
                <w:szCs w:val="20"/>
              </w:rPr>
              <w:t xml:space="preserve">Review Coverage B limits whenever a major detached structure is added to the property — a new garage, a pool and pool house, a large workshop. The automatic 10% may be sufficient for modest properties, but homes with substantial outbuildings need a Coverage B limit that reflects the true replacement cost of all structures on the property.</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A2E48" w:val="clear"/>
            <w:tcMar>
              <w:top w:type="dxa" w:w="160"/>
              <w:left w:type="dxa" w:w="240"/>
              <w:bottom w:type="dxa" w:w="160"/>
              <w:right w:type="dxa" w:w="240"/>
            </w:tcMar>
          </w:tcPr>
          <w:p>
            <w:pPr>
              <w:spacing w:after="0" w:before="0"/>
            </w:pPr>
            <w:r>
              <w:rPr>
                <w:rFonts w:ascii="Arial" w:cs="Arial" w:eastAsia="Arial" w:hAnsi="Arial"/>
                <w:b/>
                <w:bCs/>
                <w:color w:val="AABCCC"/>
                <w:sz w:val="22"/>
                <w:szCs w:val="22"/>
              </w:rPr>
              <w:t xml:space="preserve">Coverage C  |  </w:t>
            </w:r>
            <w:r>
              <w:rPr>
                <w:rFonts w:ascii="Arial" w:cs="Arial" w:eastAsia="Arial" w:hAnsi="Arial"/>
                <w:b/>
                <w:bCs/>
                <w:color w:val="FFFFFF"/>
                <w:sz w:val="28"/>
                <w:szCs w:val="28"/>
              </w:rPr>
              <w:t xml:space="preserve">Personal Property Coverage</w:t>
            </w:r>
          </w:p>
        </w:tc>
      </w:tr>
    </w:tbl>
    <w:p>
      <w:pPr>
        <w:spacing w:after="0" w:before="100"/>
      </w:pPr>
      <w:r>
        <w:rPr>
          <w:rFonts w:ascii="Arial" w:cs="Arial" w:eastAsia="Arial" w:hAnsi="Arial"/>
        </w:rPr>
        <w:t xml:space="preserve"/>
      </w:r>
    </w:p>
    <w:p>
      <w:pPr>
        <w:spacing w:after="110" w:before="80"/>
      </w:pPr>
      <w:r>
        <w:rPr>
          <w:rFonts w:ascii="Arial" w:cs="Arial" w:eastAsia="Arial" w:hAnsi="Arial"/>
          <w:color w:val="141C28"/>
          <w:sz w:val="22"/>
          <w:szCs w:val="22"/>
        </w:rPr>
        <w:t xml:space="preserve">Coverage C protects the homeowner’s personal belongings — furniture, clothing, electronics, appliances, sporting equipment, jewelry, artwork, and all other personal possessions — against covered perils wherever those items are located. This means Coverage C follows the homeowner’s belongings around the world: property stolen from a car, luggage damaged while traveling, or a laptop lost at a hotel may be covered under the homeowners policy’s Coverage C.</w:t>
      </w:r>
    </w:p>
    <w:p>
      <w:pPr>
        <w:spacing w:after="0" w:before="80"/>
      </w:pPr>
      <w:r>
        <w:rPr>
          <w:rFonts w:ascii="Arial" w:cs="Arial" w:eastAsia="Arial" w:hAnsi="Arial"/>
        </w:rPr>
        <w:t xml:space="preserve"/>
      </w:r>
    </w:p>
    <w:p>
      <w:pPr>
        <w:spacing w:after="110" w:before="80"/>
      </w:pPr>
      <w:r>
        <w:rPr>
          <w:rFonts w:ascii="Arial" w:cs="Arial" w:eastAsia="Arial" w:hAnsi="Arial"/>
          <w:color w:val="141C28"/>
          <w:sz w:val="22"/>
          <w:szCs w:val="22"/>
        </w:rPr>
        <w:t xml:space="preserve">The standard Coverage C limit is 50–70% of the Coverage A dwelling limit, but homeowners can adjust this based on an accurate inventory of their belongings. Setting Coverage C too low leaves personal property inadequately protected; setting it correctly ensures the homeowner can replace their belongings after a major loss.</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A0B4C8" w:sz="1"/>
              <w:left w:val="single" w:color="A0B4C8" w:sz="1"/>
              <w:bottom w:val="single" w:color="A0B4C8" w:sz="1"/>
              <w:right w:val="single" w:color="A0B4C8" w:sz="1"/>
            </w:tcBorders>
            <w:shd w:fill="EAF0F5" w:val="clear"/>
            <w:tcMar>
              <w:top w:type="dxa" w:w="110"/>
              <w:left w:type="dxa" w:w="160"/>
              <w:bottom w:type="dxa" w:w="110"/>
              <w:right w:type="dxa" w:w="160"/>
            </w:tcMar>
          </w:tcPr>
          <w:p>
            <w:pPr>
              <w:spacing w:after="60" w:before="0"/>
            </w:pPr>
            <w:r>
              <w:rPr>
                <w:rFonts w:ascii="Arial" w:cs="Arial" w:eastAsia="Arial" w:hAnsi="Arial"/>
                <w:b/>
                <w:bCs/>
                <w:color w:val="2A4468"/>
                <w:sz w:val="19"/>
                <w:szCs w:val="19"/>
              </w:rPr>
              <w:t xml:space="preserve">What Coverage C Covers</w:t>
            </w:r>
          </w:p>
          <w:p>
            <w:pPr>
              <w:spacing w:after="0" w:before="0"/>
            </w:pPr>
            <w:r>
              <w:rPr>
                <w:rFonts w:ascii="Arial" w:cs="Arial" w:eastAsia="Arial" w:hAnsi="Arial"/>
                <w:color w:val="2C3848"/>
                <w:sz w:val="20"/>
                <w:szCs w:val="20"/>
              </w:rPr>
              <w:t xml:space="preserve">All personal property owned or used by the insured and their household members, including furniture, clothing, electronics, appliances, jewelry (up to sublimits), books, sporting equipment, musical instruments, tools, and all other personal belongings.</w:t>
            </w:r>
          </w:p>
        </w:tc>
        <w:tc>
          <w:tcPr>
            <w:tcW w:type="dxa" w:w="4620"/>
            <w:tcBorders>
              <w:top w:val="single" w:color="A0B4C8" w:sz="1"/>
              <w:left w:val="single" w:color="A0B4C8" w:sz="1"/>
              <w:bottom w:val="single" w:color="A0B4C8" w:sz="1"/>
              <w:right w:val="single" w:color="A0B4C8" w:sz="1"/>
            </w:tcBorders>
            <w:shd w:fill="EAF0F5" w:val="clear"/>
            <w:tcMar>
              <w:top w:type="dxa" w:w="110"/>
              <w:left w:type="dxa" w:w="160"/>
              <w:bottom w:type="dxa" w:w="110"/>
              <w:right w:type="dxa" w:w="160"/>
            </w:tcMar>
          </w:tcPr>
          <w:p>
            <w:pPr>
              <w:spacing w:after="60" w:before="0"/>
            </w:pPr>
            <w:r>
              <w:rPr>
                <w:rFonts w:ascii="Arial" w:cs="Arial" w:eastAsia="Arial" w:hAnsi="Arial"/>
                <w:b/>
                <w:bCs/>
                <w:color w:val="2A4468"/>
                <w:sz w:val="19"/>
                <w:szCs w:val="19"/>
              </w:rPr>
              <w:t xml:space="preserve">Coverage Basis — ACV vs. RC</w:t>
            </w:r>
          </w:p>
          <w:p>
            <w:pPr>
              <w:spacing w:after="0" w:before="0"/>
            </w:pPr>
            <w:r>
              <w:rPr>
                <w:rFonts w:ascii="Arial" w:cs="Arial" w:eastAsia="Arial" w:hAnsi="Arial"/>
                <w:color w:val="2C3848"/>
                <w:sz w:val="20"/>
                <w:szCs w:val="20"/>
              </w:rPr>
              <w:t xml:space="preserve">Coverage C is commonly written on an actual cash value (ACV) basis in standard policies. ACV deducts depreciation from the claim payment, meaning a 7-year-old sofa may be worth only $200 in ACV even though replacing it costs $1,200. A replacement cost endorsement for personal property is strongly recommended and changes this to new-for-old settlement.</w:t>
            </w:r>
          </w:p>
        </w:tc>
      </w:tr>
      <w:tr>
        <w:tc>
          <w:tcPr>
            <w:tcW w:type="dxa" w:w="4620"/>
            <w:tcBorders>
              <w:top w:val="single" w:color="A0B4C8" w:sz="1"/>
              <w:left w:val="single" w:color="A0B4C8" w:sz="1"/>
              <w:bottom w:val="single" w:color="A0B4C8" w:sz="1"/>
              <w:right w:val="single" w:color="A0B4C8" w:sz="1"/>
            </w:tcBorders>
            <w:shd w:fill="EAF0F5" w:val="clear"/>
            <w:tcMar>
              <w:top w:type="dxa" w:w="110"/>
              <w:left w:type="dxa" w:w="160"/>
              <w:bottom w:type="dxa" w:w="110"/>
              <w:right w:type="dxa" w:w="160"/>
            </w:tcMar>
          </w:tcPr>
          <w:p>
            <w:pPr>
              <w:spacing w:after="60" w:before="0"/>
            </w:pPr>
            <w:r>
              <w:rPr>
                <w:rFonts w:ascii="Arial" w:cs="Arial" w:eastAsia="Arial" w:hAnsi="Arial"/>
                <w:b/>
                <w:bCs/>
                <w:color w:val="2A4468"/>
                <w:sz w:val="19"/>
                <w:szCs w:val="19"/>
              </w:rPr>
              <w:t xml:space="preserve">Off-Premises Coverage</w:t>
            </w:r>
          </w:p>
          <w:p>
            <w:pPr>
              <w:spacing w:after="0" w:before="0"/>
            </w:pPr>
            <w:r>
              <w:rPr>
                <w:rFonts w:ascii="Arial" w:cs="Arial" w:eastAsia="Arial" w:hAnsi="Arial"/>
                <w:color w:val="2C3848"/>
                <w:sz w:val="20"/>
                <w:szCs w:val="20"/>
              </w:rPr>
              <w:t xml:space="preserve">Coverage C typically extends to personal property away from home, usually limited to 10% of the Coverage C limit for property off-premises. Items stolen from a vehicle, a college student’s belongings in a dorm room, or luggage lost while traveling may be covered subject to this sublimit.</w:t>
            </w:r>
          </w:p>
        </w:tc>
        <w:tc>
          <w:tcPr>
            <w:tcW w:type="dxa" w:w="4620"/>
            <w:tcBorders>
              <w:top w:val="single" w:color="A0B4C8" w:sz="1"/>
              <w:left w:val="single" w:color="A0B4C8" w:sz="1"/>
              <w:bottom w:val="single" w:color="A0B4C8" w:sz="1"/>
              <w:right w:val="single" w:color="A0B4C8" w:sz="1"/>
            </w:tcBorders>
            <w:shd w:fill="EAF0F5" w:val="clear"/>
            <w:tcMar>
              <w:top w:type="dxa" w:w="110"/>
              <w:left w:type="dxa" w:w="160"/>
              <w:bottom w:type="dxa" w:w="110"/>
              <w:right w:type="dxa" w:w="160"/>
            </w:tcMar>
          </w:tcPr>
          <w:p>
            <w:pPr>
              <w:spacing w:after="60" w:before="0"/>
            </w:pPr>
            <w:r>
              <w:rPr>
                <w:rFonts w:ascii="Arial" w:cs="Arial" w:eastAsia="Arial" w:hAnsi="Arial"/>
                <w:b/>
                <w:bCs/>
                <w:color w:val="2A4468"/>
                <w:sz w:val="19"/>
                <w:szCs w:val="19"/>
              </w:rPr>
              <w:t xml:space="preserve">Special Limits (Sublimits)</w:t>
            </w:r>
          </w:p>
          <w:p>
            <w:pPr>
              <w:spacing w:after="0" w:before="0"/>
            </w:pPr>
            <w:r>
              <w:rPr>
                <w:rFonts w:ascii="Arial" w:cs="Arial" w:eastAsia="Arial" w:hAnsi="Arial"/>
                <w:color w:val="2C3848"/>
                <w:sz w:val="20"/>
                <w:szCs w:val="20"/>
              </w:rPr>
              <w:t xml:space="preserve">Standard policies impose sublimits on specific categories of high-value items: jewelry ($1,500–2,500), cash ($200), silverware ($2,500), firearms ($2,500), securities ($1,000), and electronics. These sublimits are well below the market value of many homeowners’ collections in these categories.</w:t>
            </w:r>
          </w:p>
        </w:tc>
      </w:tr>
    </w:tbl>
    <w:p>
      <w:pPr>
        <w:spacing w:after="0" w:before="100"/>
      </w:pPr>
      <w:r>
        <w:rPr>
          <w:rFonts w:ascii="Arial" w:cs="Arial" w:eastAsia="Arial" w:hAnsi="Arial"/>
        </w:rPr>
        <w:t xml:space="preserve"/>
      </w:r>
    </w:p>
    <w:p>
      <w:pPr>
        <w:pBdr>
          <w:bottom w:val="single" w:color="AABCCC" w:sz="4" w:space="4"/>
        </w:pBdr>
        <w:spacing w:after="80" w:before="220"/>
      </w:pPr>
      <w:r>
        <w:rPr>
          <w:rFonts w:ascii="Arial" w:cs="Arial" w:eastAsia="Arial" w:hAnsi="Arial"/>
          <w:b/>
          <w:bCs/>
          <w:color w:val="1A2E48"/>
          <w:sz w:val="24"/>
          <w:szCs w:val="24"/>
        </w:rPr>
        <w:t xml:space="preserve">Personal Property Sublimits — A Critical Awareness Issue</w:t>
      </w:r>
    </w:p>
    <w:p>
      <w:pPr>
        <w:spacing w:after="110" w:before="80"/>
      </w:pPr>
      <w:r>
        <w:rPr>
          <w:rFonts w:ascii="Arial" w:cs="Arial" w:eastAsia="Arial" w:hAnsi="Arial"/>
          <w:color w:val="141C28"/>
          <w:sz w:val="22"/>
          <w:szCs w:val="22"/>
        </w:rPr>
        <w:t xml:space="preserve">The sublimits built into standard Coverage C create the most common coverage gaps in residential insurance. A homeowner with $15,000 in jewelry is covered for only $1,500–2,500 under the standard policy. A gun collector with $20,000 in firearms is covered for only $2,500. A musician with $8,000 in instruments has very limited standard coverage. These gaps require scheduled personal property endorsements or floaters.</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2880"/>
        <w:gridCol w:w="3680"/>
      </w:tblGrid>
      <w:tr>
        <w:tc>
          <w:tcPr>
            <w:tcW w:type="dxa" w:w="2800"/>
            <w:tcBorders>
              <w:top w:val="none" w:color="FFFFFF" w:sz="0"/>
              <w:left w:val="none" w:color="FFFFFF" w:sz="0"/>
              <w:bottom w:val="none" w:color="FFFFFF" w:sz="0"/>
              <w:right w:val="none" w:color="FFFFFF" w:sz="0"/>
            </w:tcBorders>
            <w:shd w:fill="1E2C3A"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Item Category</w:t>
            </w:r>
          </w:p>
        </w:tc>
        <w:tc>
          <w:tcPr>
            <w:tcW w:type="dxa" w:w="2880"/>
            <w:tcBorders>
              <w:top w:val="none" w:color="FFFFFF" w:sz="0"/>
              <w:left w:val="none" w:color="FFFFFF" w:sz="0"/>
              <w:bottom w:val="none" w:color="FFFFFF" w:sz="0"/>
              <w:right w:val="none" w:color="FFFFFF" w:sz="0"/>
            </w:tcBorders>
            <w:shd w:fill="2A4468"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Typical Coverage C Sublimit</w:t>
            </w:r>
          </w:p>
        </w:tc>
        <w:tc>
          <w:tcPr>
            <w:tcW w:type="dxa" w:w="3680"/>
            <w:tcBorders>
              <w:top w:val="none" w:color="FFFFFF" w:sz="0"/>
              <w:left w:val="none" w:color="FFFFFF" w:sz="0"/>
              <w:bottom w:val="none" w:color="FFFFFF" w:sz="0"/>
              <w:right w:val="none" w:color="FFFFFF" w:sz="0"/>
            </w:tcBorders>
            <w:shd w:fill="2A4468"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Recommended Solution</w:t>
            </w:r>
          </w:p>
        </w:tc>
      </w:tr>
      <w:tr>
        <w:tc>
          <w:tcPr>
            <w:tcW w:type="dxa" w:w="2800"/>
            <w:tcBorders>
              <w:top w:val="single" w:color="A0B4C8" w:sz="1"/>
              <w:left w:val="single" w:color="A0B4C8" w:sz="1"/>
              <w:bottom w:val="single" w:color="A0B4C8" w:sz="1"/>
              <w:right w:val="single" w:color="A0B4C8" w:sz="1"/>
            </w:tcBorders>
            <w:shd w:fill="FFFFFF" w:val="clear"/>
            <w:tcMar>
              <w:top w:type="dxa" w:w="80"/>
              <w:left w:type="dxa" w:w="160"/>
              <w:bottom w:type="dxa" w:w="80"/>
              <w:right w:type="dxa" w:w="160"/>
            </w:tcMar>
          </w:tcPr>
          <w:p>
            <w:pPr>
              <w:spacing w:after="0" w:before="0"/>
            </w:pPr>
            <w:r>
              <w:rPr>
                <w:rFonts w:ascii="Arial" w:cs="Arial" w:eastAsia="Arial" w:hAnsi="Arial"/>
                <w:b/>
                <w:bCs/>
                <w:color w:val="141C28"/>
                <w:sz w:val="20"/>
                <w:szCs w:val="20"/>
              </w:rPr>
              <w:t xml:space="preserve">Jewelry and watches</w:t>
            </w:r>
          </w:p>
        </w:tc>
        <w:tc>
          <w:tcPr>
            <w:tcW w:type="dxa" w:w="2880"/>
            <w:tcBorders>
              <w:top w:val="single" w:color="A0B4C8" w:sz="1"/>
              <w:left w:val="single" w:color="A0B4C8" w:sz="1"/>
              <w:bottom w:val="single" w:color="A0B4C8" w:sz="1"/>
              <w:right w:val="single" w:color="A0B4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$1,500–$2,500 per occurrence</w:t>
            </w:r>
          </w:p>
        </w:tc>
        <w:tc>
          <w:tcPr>
            <w:tcW w:type="dxa" w:w="3680"/>
            <w:tcBorders>
              <w:top w:val="single" w:color="A0B4C8" w:sz="1"/>
              <w:left w:val="single" w:color="A0B4C8" w:sz="1"/>
              <w:bottom w:val="single" w:color="A0B4C8" w:sz="1"/>
              <w:right w:val="single" w:color="A0B4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Personal articles floater at appraised value</w:t>
            </w:r>
          </w:p>
        </w:tc>
      </w:tr>
      <w:tr>
        <w:tc>
          <w:tcPr>
            <w:tcW w:type="dxa" w:w="2800"/>
            <w:tcBorders>
              <w:top w:val="single" w:color="A0B4C8" w:sz="1"/>
              <w:left w:val="single" w:color="A0B4C8" w:sz="1"/>
              <w:bottom w:val="single" w:color="A0B4C8" w:sz="1"/>
              <w:right w:val="single" w:color="A0B4C8" w:sz="1"/>
            </w:tcBorders>
            <w:shd w:fill="EAF0F5" w:val="clear"/>
            <w:tcMar>
              <w:top w:type="dxa" w:w="80"/>
              <w:left w:type="dxa" w:w="160"/>
              <w:bottom w:type="dxa" w:w="80"/>
              <w:right w:type="dxa" w:w="160"/>
            </w:tcMar>
          </w:tcPr>
          <w:p>
            <w:pPr>
              <w:spacing w:after="0" w:before="0"/>
            </w:pPr>
            <w:r>
              <w:rPr>
                <w:rFonts w:ascii="Arial" w:cs="Arial" w:eastAsia="Arial" w:hAnsi="Arial"/>
                <w:b/>
                <w:bCs/>
                <w:color w:val="141C28"/>
                <w:sz w:val="20"/>
                <w:szCs w:val="20"/>
              </w:rPr>
              <w:t xml:space="preserve">Firearms and weapons</w:t>
            </w:r>
          </w:p>
        </w:tc>
        <w:tc>
          <w:tcPr>
            <w:tcW w:type="dxa" w:w="2880"/>
            <w:tcBorders>
              <w:top w:val="single" w:color="A0B4C8" w:sz="1"/>
              <w:left w:val="single" w:color="A0B4C8" w:sz="1"/>
              <w:bottom w:val="single" w:color="A0B4C8" w:sz="1"/>
              <w:right w:val="single" w:color="A0B4C8" w:sz="1"/>
            </w:tcBorders>
            <w:shd w:fill="EAF0F5"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$2,500 per occurrence</w:t>
            </w:r>
          </w:p>
        </w:tc>
        <w:tc>
          <w:tcPr>
            <w:tcW w:type="dxa" w:w="3680"/>
            <w:tcBorders>
              <w:top w:val="single" w:color="A0B4C8" w:sz="1"/>
              <w:left w:val="single" w:color="A0B4C8" w:sz="1"/>
              <w:bottom w:val="single" w:color="A0B4C8" w:sz="1"/>
              <w:right w:val="single" w:color="A0B4C8" w:sz="1"/>
            </w:tcBorders>
            <w:shd w:fill="EAF0F5"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Scheduled firearms endorsement</w:t>
            </w:r>
          </w:p>
        </w:tc>
      </w:tr>
      <w:tr>
        <w:tc>
          <w:tcPr>
            <w:tcW w:type="dxa" w:w="2800"/>
            <w:tcBorders>
              <w:top w:val="single" w:color="A0B4C8" w:sz="1"/>
              <w:left w:val="single" w:color="A0B4C8" w:sz="1"/>
              <w:bottom w:val="single" w:color="A0B4C8" w:sz="1"/>
              <w:right w:val="single" w:color="A0B4C8" w:sz="1"/>
            </w:tcBorders>
            <w:shd w:fill="FFFFFF" w:val="clear"/>
            <w:tcMar>
              <w:top w:type="dxa" w:w="80"/>
              <w:left w:type="dxa" w:w="160"/>
              <w:bottom w:type="dxa" w:w="80"/>
              <w:right w:type="dxa" w:w="160"/>
            </w:tcMar>
          </w:tcPr>
          <w:p>
            <w:pPr>
              <w:spacing w:after="0" w:before="0"/>
            </w:pPr>
            <w:r>
              <w:rPr>
                <w:rFonts w:ascii="Arial" w:cs="Arial" w:eastAsia="Arial" w:hAnsi="Arial"/>
                <w:b/>
                <w:bCs/>
                <w:color w:val="141C28"/>
                <w:sz w:val="20"/>
                <w:szCs w:val="20"/>
              </w:rPr>
              <w:t xml:space="preserve">Cash and currency</w:t>
            </w:r>
          </w:p>
        </w:tc>
        <w:tc>
          <w:tcPr>
            <w:tcW w:type="dxa" w:w="2880"/>
            <w:tcBorders>
              <w:top w:val="single" w:color="A0B4C8" w:sz="1"/>
              <w:left w:val="single" w:color="A0B4C8" w:sz="1"/>
              <w:bottom w:val="single" w:color="A0B4C8" w:sz="1"/>
              <w:right w:val="single" w:color="A0B4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$200</w:t>
            </w:r>
          </w:p>
        </w:tc>
        <w:tc>
          <w:tcPr>
            <w:tcW w:type="dxa" w:w="3680"/>
            <w:tcBorders>
              <w:top w:val="single" w:color="A0B4C8" w:sz="1"/>
              <w:left w:val="single" w:color="A0B4C8" w:sz="1"/>
              <w:bottom w:val="single" w:color="A0B4C8" w:sz="1"/>
              <w:right w:val="single" w:color="A0B4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Safe; bank accounts; not a coverage solution</w:t>
            </w:r>
          </w:p>
        </w:tc>
      </w:tr>
      <w:tr>
        <w:tc>
          <w:tcPr>
            <w:tcW w:type="dxa" w:w="2800"/>
            <w:tcBorders>
              <w:top w:val="single" w:color="A0B4C8" w:sz="1"/>
              <w:left w:val="single" w:color="A0B4C8" w:sz="1"/>
              <w:bottom w:val="single" w:color="A0B4C8" w:sz="1"/>
              <w:right w:val="single" w:color="A0B4C8" w:sz="1"/>
            </w:tcBorders>
            <w:shd w:fill="EAF0F5" w:val="clear"/>
            <w:tcMar>
              <w:top w:type="dxa" w:w="80"/>
              <w:left w:type="dxa" w:w="160"/>
              <w:bottom w:type="dxa" w:w="80"/>
              <w:right w:type="dxa" w:w="160"/>
            </w:tcMar>
          </w:tcPr>
          <w:p>
            <w:pPr>
              <w:spacing w:after="0" w:before="0"/>
            </w:pPr>
            <w:r>
              <w:rPr>
                <w:rFonts w:ascii="Arial" w:cs="Arial" w:eastAsia="Arial" w:hAnsi="Arial"/>
                <w:b/>
                <w:bCs/>
                <w:color w:val="141C28"/>
                <w:sz w:val="20"/>
                <w:szCs w:val="20"/>
              </w:rPr>
              <w:t xml:space="preserve">Securities and documents</w:t>
            </w:r>
          </w:p>
        </w:tc>
        <w:tc>
          <w:tcPr>
            <w:tcW w:type="dxa" w:w="2880"/>
            <w:tcBorders>
              <w:top w:val="single" w:color="A0B4C8" w:sz="1"/>
              <w:left w:val="single" w:color="A0B4C8" w:sz="1"/>
              <w:bottom w:val="single" w:color="A0B4C8" w:sz="1"/>
              <w:right w:val="single" w:color="A0B4C8" w:sz="1"/>
            </w:tcBorders>
            <w:shd w:fill="EAF0F5"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$1,000</w:t>
            </w:r>
          </w:p>
        </w:tc>
        <w:tc>
          <w:tcPr>
            <w:tcW w:type="dxa" w:w="3680"/>
            <w:tcBorders>
              <w:top w:val="single" w:color="A0B4C8" w:sz="1"/>
              <w:left w:val="single" w:color="A0B4C8" w:sz="1"/>
              <w:bottom w:val="single" w:color="A0B4C8" w:sz="1"/>
              <w:right w:val="single" w:color="A0B4C8" w:sz="1"/>
            </w:tcBorders>
            <w:shd w:fill="EAF0F5"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Duplicates; digital storage</w:t>
            </w:r>
          </w:p>
        </w:tc>
      </w:tr>
      <w:tr>
        <w:tc>
          <w:tcPr>
            <w:tcW w:type="dxa" w:w="2800"/>
            <w:tcBorders>
              <w:top w:val="single" w:color="A0B4C8" w:sz="1"/>
              <w:left w:val="single" w:color="A0B4C8" w:sz="1"/>
              <w:bottom w:val="single" w:color="A0B4C8" w:sz="1"/>
              <w:right w:val="single" w:color="A0B4C8" w:sz="1"/>
            </w:tcBorders>
            <w:shd w:fill="FFFFFF" w:val="clear"/>
            <w:tcMar>
              <w:top w:type="dxa" w:w="80"/>
              <w:left w:type="dxa" w:w="160"/>
              <w:bottom w:type="dxa" w:w="80"/>
              <w:right w:type="dxa" w:w="160"/>
            </w:tcMar>
          </w:tcPr>
          <w:p>
            <w:pPr>
              <w:spacing w:after="0" w:before="0"/>
            </w:pPr>
            <w:r>
              <w:rPr>
                <w:rFonts w:ascii="Arial" w:cs="Arial" w:eastAsia="Arial" w:hAnsi="Arial"/>
                <w:b/>
                <w:bCs/>
                <w:color w:val="141C28"/>
                <w:sz w:val="20"/>
                <w:szCs w:val="20"/>
              </w:rPr>
              <w:t xml:space="preserve">Silverware and goldware</w:t>
            </w:r>
          </w:p>
        </w:tc>
        <w:tc>
          <w:tcPr>
            <w:tcW w:type="dxa" w:w="2880"/>
            <w:tcBorders>
              <w:top w:val="single" w:color="A0B4C8" w:sz="1"/>
              <w:left w:val="single" w:color="A0B4C8" w:sz="1"/>
              <w:bottom w:val="single" w:color="A0B4C8" w:sz="1"/>
              <w:right w:val="single" w:color="A0B4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$2,500 per occurrence</w:t>
            </w:r>
          </w:p>
        </w:tc>
        <w:tc>
          <w:tcPr>
            <w:tcW w:type="dxa" w:w="3680"/>
            <w:tcBorders>
              <w:top w:val="single" w:color="A0B4C8" w:sz="1"/>
              <w:left w:val="single" w:color="A0B4C8" w:sz="1"/>
              <w:bottom w:val="single" w:color="A0B4C8" w:sz="1"/>
              <w:right w:val="single" w:color="A0B4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Scheduled articles endorsement</w:t>
            </w:r>
          </w:p>
        </w:tc>
      </w:tr>
      <w:tr>
        <w:tc>
          <w:tcPr>
            <w:tcW w:type="dxa" w:w="2800"/>
            <w:tcBorders>
              <w:top w:val="single" w:color="A0B4C8" w:sz="1"/>
              <w:left w:val="single" w:color="A0B4C8" w:sz="1"/>
              <w:bottom w:val="single" w:color="A0B4C8" w:sz="1"/>
              <w:right w:val="single" w:color="A0B4C8" w:sz="1"/>
            </w:tcBorders>
            <w:shd w:fill="EAF0F5" w:val="clear"/>
            <w:tcMar>
              <w:top w:type="dxa" w:w="80"/>
              <w:left w:type="dxa" w:w="160"/>
              <w:bottom w:type="dxa" w:w="80"/>
              <w:right w:type="dxa" w:w="160"/>
            </w:tcMar>
          </w:tcPr>
          <w:p>
            <w:pPr>
              <w:spacing w:after="0" w:before="0"/>
            </w:pPr>
            <w:r>
              <w:rPr>
                <w:rFonts w:ascii="Arial" w:cs="Arial" w:eastAsia="Arial" w:hAnsi="Arial"/>
                <w:b/>
                <w:bCs/>
                <w:color w:val="141C28"/>
                <w:sz w:val="20"/>
                <w:szCs w:val="20"/>
              </w:rPr>
              <w:t xml:space="preserve">Business property at home</w:t>
            </w:r>
          </w:p>
        </w:tc>
        <w:tc>
          <w:tcPr>
            <w:tcW w:type="dxa" w:w="2880"/>
            <w:tcBorders>
              <w:top w:val="single" w:color="A0B4C8" w:sz="1"/>
              <w:left w:val="single" w:color="A0B4C8" w:sz="1"/>
              <w:bottom w:val="single" w:color="A0B4C8" w:sz="1"/>
              <w:right w:val="single" w:color="A0B4C8" w:sz="1"/>
            </w:tcBorders>
            <w:shd w:fill="EAF0F5"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$2,500 or less</w:t>
            </w:r>
          </w:p>
        </w:tc>
        <w:tc>
          <w:tcPr>
            <w:tcW w:type="dxa" w:w="3680"/>
            <w:tcBorders>
              <w:top w:val="single" w:color="A0B4C8" w:sz="1"/>
              <w:left w:val="single" w:color="A0B4C8" w:sz="1"/>
              <w:bottom w:val="single" w:color="A0B4C8" w:sz="1"/>
              <w:right w:val="single" w:color="A0B4C8" w:sz="1"/>
            </w:tcBorders>
            <w:shd w:fill="EAF0F5"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Home business endorsement or separate policy</w:t>
            </w:r>
          </w:p>
        </w:tc>
      </w:tr>
      <w:tr>
        <w:tc>
          <w:tcPr>
            <w:tcW w:type="dxa" w:w="2800"/>
            <w:tcBorders>
              <w:top w:val="single" w:color="A0B4C8" w:sz="1"/>
              <w:left w:val="single" w:color="A0B4C8" w:sz="1"/>
              <w:bottom w:val="single" w:color="A0B4C8" w:sz="1"/>
              <w:right w:val="single" w:color="A0B4C8" w:sz="1"/>
            </w:tcBorders>
            <w:shd w:fill="FFFFFF" w:val="clear"/>
            <w:tcMar>
              <w:top w:type="dxa" w:w="80"/>
              <w:left w:type="dxa" w:w="160"/>
              <w:bottom w:type="dxa" w:w="80"/>
              <w:right w:type="dxa" w:w="160"/>
            </w:tcMar>
          </w:tcPr>
          <w:p>
            <w:pPr>
              <w:spacing w:after="0" w:before="0"/>
            </w:pPr>
            <w:r>
              <w:rPr>
                <w:rFonts w:ascii="Arial" w:cs="Arial" w:eastAsia="Arial" w:hAnsi="Arial"/>
                <w:b/>
                <w:bCs/>
                <w:color w:val="141C28"/>
                <w:sz w:val="20"/>
                <w:szCs w:val="20"/>
              </w:rPr>
              <w:t xml:space="preserve">Musical instruments</w:t>
            </w:r>
          </w:p>
        </w:tc>
        <w:tc>
          <w:tcPr>
            <w:tcW w:type="dxa" w:w="2880"/>
            <w:tcBorders>
              <w:top w:val="single" w:color="A0B4C8" w:sz="1"/>
              <w:left w:val="single" w:color="A0B4C8" w:sz="1"/>
              <w:bottom w:val="single" w:color="A0B4C8" w:sz="1"/>
              <w:right w:val="single" w:color="A0B4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Limited — varies by policy</w:t>
            </w:r>
          </w:p>
        </w:tc>
        <w:tc>
          <w:tcPr>
            <w:tcW w:type="dxa" w:w="3680"/>
            <w:tcBorders>
              <w:top w:val="single" w:color="A0B4C8" w:sz="1"/>
              <w:left w:val="single" w:color="A0B4C8" w:sz="1"/>
              <w:bottom w:val="single" w:color="A0B4C8" w:sz="1"/>
              <w:right w:val="single" w:color="A0B4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Inland marine / personal articles floater</w:t>
            </w:r>
          </w:p>
        </w:tc>
      </w:tr>
      <w:tr>
        <w:tc>
          <w:tcPr>
            <w:tcW w:type="dxa" w:w="2800"/>
            <w:tcBorders>
              <w:top w:val="single" w:color="A0B4C8" w:sz="1"/>
              <w:left w:val="single" w:color="A0B4C8" w:sz="1"/>
              <w:bottom w:val="single" w:color="A0B4C8" w:sz="1"/>
              <w:right w:val="single" w:color="A0B4C8" w:sz="1"/>
            </w:tcBorders>
            <w:shd w:fill="EAF0F5" w:val="clear"/>
            <w:tcMar>
              <w:top w:type="dxa" w:w="80"/>
              <w:left w:type="dxa" w:w="160"/>
              <w:bottom w:type="dxa" w:w="80"/>
              <w:right w:type="dxa" w:w="160"/>
            </w:tcMar>
          </w:tcPr>
          <w:p>
            <w:pPr>
              <w:spacing w:after="0" w:before="0"/>
            </w:pPr>
            <w:r>
              <w:rPr>
                <w:rFonts w:ascii="Arial" w:cs="Arial" w:eastAsia="Arial" w:hAnsi="Arial"/>
                <w:b/>
                <w:bCs/>
                <w:color w:val="141C28"/>
                <w:sz w:val="20"/>
                <w:szCs w:val="20"/>
              </w:rPr>
              <w:t xml:space="preserve">Fine art and collectibles</w:t>
            </w:r>
          </w:p>
        </w:tc>
        <w:tc>
          <w:tcPr>
            <w:tcW w:type="dxa" w:w="2880"/>
            <w:tcBorders>
              <w:top w:val="single" w:color="A0B4C8" w:sz="1"/>
              <w:left w:val="single" w:color="A0B4C8" w:sz="1"/>
              <w:bottom w:val="single" w:color="A0B4C8" w:sz="1"/>
              <w:right w:val="single" w:color="A0B4C8" w:sz="1"/>
            </w:tcBorders>
            <w:shd w:fill="EAF0F5"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Limited — varies by policy</w:t>
            </w:r>
          </w:p>
        </w:tc>
        <w:tc>
          <w:tcPr>
            <w:tcW w:type="dxa" w:w="3680"/>
            <w:tcBorders>
              <w:top w:val="single" w:color="A0B4C8" w:sz="1"/>
              <w:left w:val="single" w:color="A0B4C8" w:sz="1"/>
              <w:bottom w:val="single" w:color="A0B4C8" w:sz="1"/>
              <w:right w:val="single" w:color="A0B4C8" w:sz="1"/>
            </w:tcBorders>
            <w:shd w:fill="EAF0F5"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Scheduled articles at appraised value</w:t>
            </w:r>
          </w:p>
        </w:tc>
      </w:tr>
      <w:tr>
        <w:tc>
          <w:tcPr>
            <w:tcW w:type="dxa" w:w="2800"/>
            <w:tcBorders>
              <w:top w:val="single" w:color="A0B4C8" w:sz="1"/>
              <w:left w:val="single" w:color="A0B4C8" w:sz="1"/>
              <w:bottom w:val="single" w:color="A0B4C8" w:sz="1"/>
              <w:right w:val="single" w:color="A0B4C8" w:sz="1"/>
            </w:tcBorders>
            <w:shd w:fill="FFFFFF" w:val="clear"/>
            <w:tcMar>
              <w:top w:type="dxa" w:w="80"/>
              <w:left w:type="dxa" w:w="160"/>
              <w:bottom w:type="dxa" w:w="80"/>
              <w:right w:type="dxa" w:w="160"/>
            </w:tcMar>
          </w:tcPr>
          <w:p>
            <w:pPr>
              <w:spacing w:after="0" w:before="0"/>
            </w:pPr>
            <w:r>
              <w:rPr>
                <w:rFonts w:ascii="Arial" w:cs="Arial" w:eastAsia="Arial" w:hAnsi="Arial"/>
                <w:b/>
                <w:bCs/>
                <w:color w:val="141C28"/>
                <w:sz w:val="20"/>
                <w:szCs w:val="20"/>
              </w:rPr>
              <w:t xml:space="preserve">Electronics (high-value)</w:t>
            </w:r>
          </w:p>
        </w:tc>
        <w:tc>
          <w:tcPr>
            <w:tcW w:type="dxa" w:w="2880"/>
            <w:tcBorders>
              <w:top w:val="single" w:color="A0B4C8" w:sz="1"/>
              <w:left w:val="single" w:color="A0B4C8" w:sz="1"/>
              <w:bottom w:val="single" w:color="A0B4C8" w:sz="1"/>
              <w:right w:val="single" w:color="A0B4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Subject to overall C limit</w:t>
            </w:r>
          </w:p>
        </w:tc>
        <w:tc>
          <w:tcPr>
            <w:tcW w:type="dxa" w:w="3680"/>
            <w:tcBorders>
              <w:top w:val="single" w:color="A0B4C8" w:sz="1"/>
              <w:left w:val="single" w:color="A0B4C8" w:sz="1"/>
              <w:bottom w:val="single" w:color="A0B4C8" w:sz="1"/>
              <w:right w:val="single" w:color="A0B4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Confirm RC endorsement applies; schedule if needed</w:t>
            </w:r>
          </w:p>
        </w:tc>
      </w:tr>
    </w:tbl>
    <w:p>
      <w:pPr>
        <w:spacing w:after="0" w:before="120"/>
      </w:pPr>
      <w:r>
        <w:rPr>
          <w:rFonts w:ascii="Arial" w:cs="Arial" w:eastAsia="Arial" w:hAnsi="Arial"/>
        </w:rPr>
        <w:t xml:space="preserve"/>
      </w:r>
    </w:p>
    <w:p>
      <w:pPr>
        <w:pBdr>
          <w:bottom w:val="single" w:color="AABCCC" w:sz="4" w:space="4"/>
        </w:pBdr>
        <w:spacing w:after="80" w:before="220"/>
      </w:pPr>
      <w:r>
        <w:rPr>
          <w:rFonts w:ascii="Arial" w:cs="Arial" w:eastAsia="Arial" w:hAnsi="Arial"/>
          <w:b/>
          <w:bCs/>
          <w:color w:val="1A2E48"/>
          <w:sz w:val="24"/>
          <w:szCs w:val="24"/>
        </w:rPr>
        <w:t xml:space="preserve">The Home Inventory Imperative</w:t>
      </w:r>
    </w:p>
    <w:p>
      <w:pPr>
        <w:spacing w:after="110" w:before="80"/>
      </w:pPr>
      <w:r>
        <w:rPr>
          <w:rFonts w:ascii="Arial" w:cs="Arial" w:eastAsia="Arial" w:hAnsi="Arial"/>
          <w:color w:val="141C28"/>
          <w:sz w:val="22"/>
          <w:szCs w:val="22"/>
        </w:rPr>
        <w:t xml:space="preserve">A home inventory — a documented record of all personal belongings with descriptions, serial numbers, and values — is the most important step a homeowner can take to prepare for a Coverage C claim. Without an inventory, estimating the total value of lost or damaged belongings is nearly impossible, and the claims process becomes significantly more difficult and contentious.</w:t>
      </w:r>
    </w:p>
    <w:p>
      <w:pPr>
        <w:spacing w:after="0" w:before="80"/>
      </w:pPr>
      <w:r>
        <w:rPr>
          <w:rFonts w:ascii="Arial" w:cs="Arial" w:eastAsia="Arial" w:hAnsi="Arial"/>
        </w:rPr>
        <w:t xml:space="preserve"/>
      </w:r>
    </w:p>
    <w:p>
      <w:pPr>
        <w:spacing w:after="110" w:before="80"/>
      </w:pPr>
      <w:r>
        <w:rPr>
          <w:rFonts w:ascii="Arial" w:cs="Arial" w:eastAsia="Arial" w:hAnsi="Arial"/>
          <w:color w:val="141C28"/>
          <w:sz w:val="22"/>
          <w:szCs w:val="22"/>
        </w:rPr>
        <w:t xml:space="preserve">Create a home inventory by walking through every room, photographing or video-recording every item, documenting serial numbers on electronics and appliances, and noting approximate current replacement values. Store the inventory in a cloud service, a safe deposit box, or another location separate from the home so it survives the same disaster the home inventory is meant to help with.</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A4468" w:sz="18"/>
              <w:bottom w:val="none" w:color="FFFFFF" w:sz="0"/>
              <w:right w:val="none" w:color="FFFFFF" w:sz="0"/>
            </w:tcBorders>
            <w:shd w:fill="EAF0F5" w:val="clear"/>
            <w:tcMar>
              <w:top w:type="dxa" w:w="110"/>
              <w:left w:type="dxa" w:w="200"/>
              <w:bottom w:type="dxa" w:w="110"/>
              <w:right w:type="dxa" w:w="160"/>
            </w:tcMar>
          </w:tcPr>
          <w:p>
            <w:pPr>
              <w:spacing w:after="0" w:before="0"/>
            </w:pPr>
            <w:r>
              <w:rPr>
                <w:rFonts w:ascii="Arial" w:cs="Arial" w:eastAsia="Arial" w:hAnsi="Arial"/>
                <w:b/>
                <w:bCs/>
                <w:color w:val="1A2E48"/>
                <w:sz w:val="20"/>
                <w:szCs w:val="20"/>
              </w:rPr>
              <w:t xml:space="preserve">Key Takeaway: </w:t>
            </w:r>
            <w:r>
              <w:rPr>
                <w:rFonts w:ascii="Arial" w:cs="Arial" w:eastAsia="Arial" w:hAnsi="Arial"/>
                <w:color w:val="2C3848"/>
                <w:sz w:val="20"/>
                <w:szCs w:val="20"/>
              </w:rPr>
              <w:t xml:space="preserve">Coverage C requires two specific actions from every homeowner: (1) add a replacement cost endorsement for personal property so claims are paid on a new-for-old basis rather than a depreciated value basis, and (2) review sublimits for jewelry, firearms, instruments, and other high-value items and add scheduled endorsements for anything that exceeds those sublimits.</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A2E48" w:val="clear"/>
            <w:tcMar>
              <w:top w:type="dxa" w:w="160"/>
              <w:left w:type="dxa" w:w="240"/>
              <w:bottom w:type="dxa" w:w="160"/>
              <w:right w:type="dxa" w:w="240"/>
            </w:tcMar>
          </w:tcPr>
          <w:p>
            <w:pPr>
              <w:spacing w:after="0" w:before="0"/>
            </w:pPr>
            <w:r>
              <w:rPr>
                <w:rFonts w:ascii="Arial" w:cs="Arial" w:eastAsia="Arial" w:hAnsi="Arial"/>
                <w:b/>
                <w:bCs/>
                <w:color w:val="AABCCC"/>
                <w:sz w:val="22"/>
                <w:szCs w:val="22"/>
              </w:rPr>
              <w:t xml:space="preserve">Coverage D  |  </w:t>
            </w:r>
            <w:r>
              <w:rPr>
                <w:rFonts w:ascii="Arial" w:cs="Arial" w:eastAsia="Arial" w:hAnsi="Arial"/>
                <w:b/>
                <w:bCs/>
                <w:color w:val="FFFFFF"/>
                <w:sz w:val="28"/>
                <w:szCs w:val="28"/>
              </w:rPr>
              <w:t xml:space="preserve">Loss of Use / Additional Living Expenses</w:t>
            </w:r>
          </w:p>
        </w:tc>
      </w:tr>
    </w:tbl>
    <w:p>
      <w:pPr>
        <w:spacing w:after="0" w:before="100"/>
      </w:pPr>
      <w:r>
        <w:rPr>
          <w:rFonts w:ascii="Arial" w:cs="Arial" w:eastAsia="Arial" w:hAnsi="Arial"/>
        </w:rPr>
        <w:t xml:space="preserve"/>
      </w:r>
    </w:p>
    <w:p>
      <w:pPr>
        <w:spacing w:after="110" w:before="80"/>
      </w:pPr>
      <w:r>
        <w:rPr>
          <w:rFonts w:ascii="Arial" w:cs="Arial" w:eastAsia="Arial" w:hAnsi="Arial"/>
          <w:color w:val="141C28"/>
          <w:sz w:val="22"/>
          <w:szCs w:val="22"/>
        </w:rPr>
        <w:t xml:space="preserve">Coverage D — also called Additional Living Expenses (ALE) or Loss of Use coverage — pays for the increased costs of living when the insured home becomes uninhabitable due to a covered loss. If a fire, major water damage, or other covered event forces the homeowner to vacate during repairs, Coverage D covers the cost of alternative housing, meals, and other necessary living expenses that exceed the homeowner’s normal day-to-day costs.</w:t>
      </w:r>
    </w:p>
    <w:p>
      <w:pPr>
        <w:spacing w:after="0" w:before="80"/>
      </w:pPr>
      <w:r>
        <w:rPr>
          <w:rFonts w:ascii="Arial" w:cs="Arial" w:eastAsia="Arial" w:hAnsi="Arial"/>
        </w:rPr>
        <w:t xml:space="preserve"/>
      </w:r>
    </w:p>
    <w:p>
      <w:pPr>
        <w:spacing w:after="110" w:before="80"/>
      </w:pPr>
      <w:r>
        <w:rPr>
          <w:rFonts w:ascii="Arial" w:cs="Arial" w:eastAsia="Arial" w:hAnsi="Arial"/>
          <w:color w:val="141C28"/>
          <w:sz w:val="22"/>
          <w:szCs w:val="22"/>
        </w:rPr>
        <w:t xml:space="preserve">Coverage D does not pay for all living expenses — it pays for the difference between what the homeowner normally spends and what they are forced to spend because they cannot live in their home. If the homeowner normally spends $300 per month on groceries and now spends $600 because they are eating out while displaced, Coverage D covers the $300 increase, not the full $600.</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A0B4C8" w:sz="1"/>
              <w:left w:val="single" w:color="A0B4C8" w:sz="1"/>
              <w:bottom w:val="single" w:color="A0B4C8" w:sz="1"/>
              <w:right w:val="single" w:color="A0B4C8" w:sz="1"/>
            </w:tcBorders>
            <w:shd w:fill="EAF0F5" w:val="clear"/>
            <w:tcMar>
              <w:top w:type="dxa" w:w="110"/>
              <w:left w:type="dxa" w:w="160"/>
              <w:bottom w:type="dxa" w:w="110"/>
              <w:right w:type="dxa" w:w="160"/>
            </w:tcMar>
          </w:tcPr>
          <w:p>
            <w:pPr>
              <w:spacing w:after="60" w:before="0"/>
            </w:pPr>
            <w:r>
              <w:rPr>
                <w:rFonts w:ascii="Arial" w:cs="Arial" w:eastAsia="Arial" w:hAnsi="Arial"/>
                <w:b/>
                <w:bCs/>
                <w:color w:val="2A4468"/>
                <w:sz w:val="19"/>
                <w:szCs w:val="19"/>
              </w:rPr>
              <w:t xml:space="preserve">What Coverage D Covers</w:t>
            </w:r>
          </w:p>
          <w:p>
            <w:pPr>
              <w:spacing w:after="0" w:before="0"/>
            </w:pPr>
            <w:r>
              <w:rPr>
                <w:rFonts w:ascii="Arial" w:cs="Arial" w:eastAsia="Arial" w:hAnsi="Arial"/>
                <w:color w:val="2C3848"/>
                <w:sz w:val="20"/>
                <w:szCs w:val="20"/>
              </w:rPr>
              <w:t xml:space="preserve">Hotel or rental housing costs, restaurant meals in excess of normal grocery spending, additional transportation costs, pet boarding (if pets cannot be accommodated in temporary housing), storage costs for belongings, and other necessary increased expenses caused by displacement from the insured home.</w:t>
            </w:r>
          </w:p>
        </w:tc>
        <w:tc>
          <w:tcPr>
            <w:tcW w:type="dxa" w:w="4620"/>
            <w:tcBorders>
              <w:top w:val="single" w:color="A0B4C8" w:sz="1"/>
              <w:left w:val="single" w:color="A0B4C8" w:sz="1"/>
              <w:bottom w:val="single" w:color="A0B4C8" w:sz="1"/>
              <w:right w:val="single" w:color="A0B4C8" w:sz="1"/>
            </w:tcBorders>
            <w:shd w:fill="EAF0F5" w:val="clear"/>
            <w:tcMar>
              <w:top w:type="dxa" w:w="110"/>
              <w:left w:type="dxa" w:w="160"/>
              <w:bottom w:type="dxa" w:w="110"/>
              <w:right w:type="dxa" w:w="160"/>
            </w:tcMar>
          </w:tcPr>
          <w:p>
            <w:pPr>
              <w:spacing w:after="60" w:before="0"/>
            </w:pPr>
            <w:r>
              <w:rPr>
                <w:rFonts w:ascii="Arial" w:cs="Arial" w:eastAsia="Arial" w:hAnsi="Arial"/>
                <w:b/>
                <w:bCs/>
                <w:color w:val="2A4468"/>
                <w:sz w:val="19"/>
                <w:szCs w:val="19"/>
              </w:rPr>
              <w:t xml:space="preserve">What Coverage D Does NOT Cover</w:t>
            </w:r>
          </w:p>
          <w:p>
            <w:pPr>
              <w:spacing w:after="0" w:before="0"/>
            </w:pPr>
            <w:r>
              <w:rPr>
                <w:rFonts w:ascii="Arial" w:cs="Arial" w:eastAsia="Arial" w:hAnsi="Arial"/>
                <w:color w:val="2C3848"/>
                <w:sz w:val="20"/>
                <w:szCs w:val="20"/>
              </w:rPr>
              <w:t xml:space="preserve">Normal living expenses that would be incurred regardless of the displacement, costs for temporary accommodations that are more luxurious than necessary, and expenses unrelated to the displacement. A homeowner who voluntarily upgrades to a penthouse suite while their home is repaired is not covered for the premium above a comparable rental.</w:t>
            </w:r>
          </w:p>
        </w:tc>
      </w:tr>
      <w:tr>
        <w:tc>
          <w:tcPr>
            <w:tcW w:type="dxa" w:w="4620"/>
            <w:tcBorders>
              <w:top w:val="single" w:color="A0B4C8" w:sz="1"/>
              <w:left w:val="single" w:color="A0B4C8" w:sz="1"/>
              <w:bottom w:val="single" w:color="A0B4C8" w:sz="1"/>
              <w:right w:val="single" w:color="A0B4C8" w:sz="1"/>
            </w:tcBorders>
            <w:shd w:fill="EAF0F5" w:val="clear"/>
            <w:tcMar>
              <w:top w:type="dxa" w:w="110"/>
              <w:left w:type="dxa" w:w="160"/>
              <w:bottom w:type="dxa" w:w="110"/>
              <w:right w:type="dxa" w:w="160"/>
            </w:tcMar>
          </w:tcPr>
          <w:p>
            <w:pPr>
              <w:spacing w:after="60" w:before="0"/>
            </w:pPr>
            <w:r>
              <w:rPr>
                <w:rFonts w:ascii="Arial" w:cs="Arial" w:eastAsia="Arial" w:hAnsi="Arial"/>
                <w:b/>
                <w:bCs/>
                <w:color w:val="2A4468"/>
                <w:sz w:val="19"/>
                <w:szCs w:val="19"/>
              </w:rPr>
              <w:t xml:space="preserve">Standard Limit</w:t>
            </w:r>
          </w:p>
          <w:p>
            <w:pPr>
              <w:spacing w:after="0" w:before="0"/>
            </w:pPr>
            <w:r>
              <w:rPr>
                <w:rFonts w:ascii="Arial" w:cs="Arial" w:eastAsia="Arial" w:hAnsi="Arial"/>
                <w:color w:val="2C3848"/>
                <w:sz w:val="20"/>
                <w:szCs w:val="20"/>
              </w:rPr>
              <w:t xml:space="preserve">Typically 20–30% of Coverage A in most standard policies. A home insured for $400,000 under Coverage A has $80,000–$120,000 in Coverage D. This limit applies to the total ALE reimbursement for the entire period of displacement, not per month.</w:t>
            </w:r>
          </w:p>
        </w:tc>
        <w:tc>
          <w:tcPr>
            <w:tcW w:type="dxa" w:w="4620"/>
            <w:tcBorders>
              <w:top w:val="single" w:color="A0B4C8" w:sz="1"/>
              <w:left w:val="single" w:color="A0B4C8" w:sz="1"/>
              <w:bottom w:val="single" w:color="A0B4C8" w:sz="1"/>
              <w:right w:val="single" w:color="A0B4C8" w:sz="1"/>
            </w:tcBorders>
            <w:shd w:fill="EAF0F5" w:val="clear"/>
            <w:tcMar>
              <w:top w:type="dxa" w:w="110"/>
              <w:left w:type="dxa" w:w="160"/>
              <w:bottom w:type="dxa" w:w="110"/>
              <w:right w:type="dxa" w:w="160"/>
            </w:tcMar>
          </w:tcPr>
          <w:p>
            <w:pPr>
              <w:spacing w:after="60" w:before="0"/>
            </w:pPr>
            <w:r>
              <w:rPr>
                <w:rFonts w:ascii="Arial" w:cs="Arial" w:eastAsia="Arial" w:hAnsi="Arial"/>
                <w:b/>
                <w:bCs/>
                <w:color w:val="2A4468"/>
                <w:sz w:val="19"/>
                <w:szCs w:val="19"/>
              </w:rPr>
              <w:t xml:space="preserve">Duration of Coverage</w:t>
            </w:r>
          </w:p>
          <w:p>
            <w:pPr>
              <w:spacing w:after="0" w:before="0"/>
            </w:pPr>
            <w:r>
              <w:rPr>
                <w:rFonts w:ascii="Arial" w:cs="Arial" w:eastAsia="Arial" w:hAnsi="Arial"/>
                <w:color w:val="2C3848"/>
                <w:sz w:val="20"/>
                <w:szCs w:val="20"/>
              </w:rPr>
              <w:t xml:space="preserve">Coverage D applies for the reasonable time required to repair or rebuild the home, or until the household can return to an alternative permanent residence. There is no fixed time limit in most policies; coverage continues for the period required to complete repairs, provided repairs are conducted with reasonable diligence.</w:t>
            </w:r>
          </w:p>
        </w:tc>
      </w:tr>
    </w:tbl>
    <w:p>
      <w:pPr>
        <w:spacing w:after="0" w:before="100"/>
      </w:pPr>
      <w:r>
        <w:rPr>
          <w:rFonts w:ascii="Arial" w:cs="Arial" w:eastAsia="Arial" w:hAnsi="Arial"/>
        </w:rPr>
        <w:t xml:space="preserve"/>
      </w:r>
    </w:p>
    <w:p>
      <w:pPr>
        <w:pBdr>
          <w:bottom w:val="single" w:color="AABCCC" w:sz="4" w:space="4"/>
        </w:pBdr>
        <w:spacing w:after="80" w:before="220"/>
      </w:pPr>
      <w:r>
        <w:rPr>
          <w:rFonts w:ascii="Arial" w:cs="Arial" w:eastAsia="Arial" w:hAnsi="Arial"/>
          <w:b/>
          <w:bCs/>
          <w:color w:val="1A2E48"/>
          <w:sz w:val="24"/>
          <w:szCs w:val="24"/>
        </w:rPr>
        <w:t xml:space="preserve">When Coverage D Becomes Critical</w:t>
      </w:r>
    </w:p>
    <w:p>
      <w:pPr>
        <w:spacing w:after="110" w:before="80"/>
      </w:pPr>
      <w:r>
        <w:rPr>
          <w:rFonts w:ascii="Arial" w:cs="Arial" w:eastAsia="Arial" w:hAnsi="Arial"/>
          <w:color w:val="141C28"/>
          <w:sz w:val="22"/>
          <w:szCs w:val="22"/>
        </w:rPr>
        <w:t xml:space="preserve">The practical importance of Coverage D becomes apparent when a major loss requires extended displacement. A total fire loss on a home with a complex rebuild project may require 12 to 18 months of temporary housing. In a high-cost rental market, 12 months at $3,500 per month equals $42,000 in ALE for housing alone — before accounting for meals, storage, and other displacement costs. An inadequate Coverage D limit can force homeowners to return to a partially repaired home before it is truly safe and habitable.</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0F4A58" w:sz="18"/>
              <w:bottom w:val="none" w:color="FFFFFF" w:sz="0"/>
              <w:right w:val="none" w:color="FFFFFF" w:sz="0"/>
            </w:tcBorders>
            <w:shd w:fill="E8F4F7" w:val="clear"/>
            <w:tcMar>
              <w:top w:type="dxa" w:w="110"/>
              <w:left w:type="dxa" w:w="200"/>
              <w:bottom w:type="dxa" w:w="110"/>
              <w:right w:type="dxa" w:w="160"/>
            </w:tcMar>
          </w:tcPr>
          <w:p>
            <w:pPr>
              <w:spacing w:after="60" w:before="0"/>
            </w:pPr>
            <w:r>
              <w:rPr>
                <w:rFonts w:ascii="Arial" w:cs="Arial" w:eastAsia="Arial" w:hAnsi="Arial"/>
                <w:b/>
                <w:bCs/>
                <w:caps/>
                <w:color w:val="0F4A58"/>
                <w:sz w:val="19"/>
                <w:szCs w:val="19"/>
              </w:rPr>
              <w:t xml:space="preserve">Coverage D in Practice</w:t>
            </w:r>
          </w:p>
          <w:p>
            <w:pPr>
              <w:spacing w:after="0" w:before="0"/>
            </w:pPr>
            <w:r>
              <w:rPr>
                <w:rFonts w:ascii="Arial" w:cs="Arial" w:eastAsia="Arial" w:hAnsi="Arial"/>
                <w:color w:val="0A2830"/>
                <w:sz w:val="20"/>
                <w:szCs w:val="20"/>
              </w:rPr>
              <w:t xml:space="preserve">A kitchen fire causes $120,000 in damage requiring 7 months of repairs. The family pays $2,800 per month for a rental home, $400 more per month than their normal costs, and $600 per month more in meals than their normal grocery budget. Total Coverage D use: (7 months × $3,400) = $23,800. With a Coverage D limit of $80,000, the family is fully protected throughout the repair period.</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7A5820" w:sz="18"/>
              <w:bottom w:val="none" w:color="FFFFFF" w:sz="0"/>
              <w:right w:val="none" w:color="FFFFFF" w:sz="0"/>
            </w:tcBorders>
            <w:shd w:fill="FAF6EC" w:val="clear"/>
            <w:tcMar>
              <w:top w:type="dxa" w:w="110"/>
              <w:left w:type="dxa" w:w="200"/>
              <w:bottom w:type="dxa" w:w="110"/>
              <w:right w:type="dxa" w:w="160"/>
            </w:tcMar>
          </w:tcPr>
          <w:p>
            <w:pPr>
              <w:spacing w:after="60" w:before="0"/>
            </w:pPr>
            <w:r>
              <w:rPr>
                <w:rFonts w:ascii="Arial" w:cs="Arial" w:eastAsia="Arial" w:hAnsi="Arial"/>
                <w:b/>
                <w:bCs/>
                <w:caps/>
                <w:color w:val="5A4010"/>
                <w:sz w:val="19"/>
                <w:szCs w:val="19"/>
              </w:rPr>
              <w:t xml:space="preserve">Fair Rental Value vs. ALE for Landlords</w:t>
            </w:r>
          </w:p>
          <w:p>
            <w:pPr>
              <w:spacing w:after="0" w:before="0"/>
            </w:pPr>
            <w:r>
              <w:rPr>
                <w:rFonts w:ascii="Arial" w:cs="Arial" w:eastAsia="Arial" w:hAnsi="Arial"/>
                <w:color w:val="4A3000"/>
                <w:sz w:val="20"/>
                <w:szCs w:val="20"/>
              </w:rPr>
              <w:t xml:space="preserve">For homes that include a rented unit, Coverage D includes a “fair rental value” component: if the rented portion of the home becomes uninhabitable, the policy pays the fair rental value of the unit (the rent the landlord would have received) during the repair period. This prevents a covered loss from also eliminating the homeowner’s rental income stream.</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A4468" w:sz="18"/>
              <w:bottom w:val="none" w:color="FFFFFF" w:sz="0"/>
              <w:right w:val="none" w:color="FFFFFF" w:sz="0"/>
            </w:tcBorders>
            <w:shd w:fill="EAF0F5" w:val="clear"/>
            <w:tcMar>
              <w:top w:type="dxa" w:w="110"/>
              <w:left w:type="dxa" w:w="200"/>
              <w:bottom w:type="dxa" w:w="110"/>
              <w:right w:type="dxa" w:w="160"/>
            </w:tcMar>
          </w:tcPr>
          <w:p>
            <w:pPr>
              <w:spacing w:after="0" w:before="0"/>
            </w:pPr>
            <w:r>
              <w:rPr>
                <w:rFonts w:ascii="Arial" w:cs="Arial" w:eastAsia="Arial" w:hAnsi="Arial"/>
                <w:b/>
                <w:bCs/>
                <w:color w:val="1A2E48"/>
                <w:sz w:val="20"/>
                <w:szCs w:val="20"/>
              </w:rPr>
              <w:t xml:space="preserve">Key Takeaway: </w:t>
            </w:r>
            <w:r>
              <w:rPr>
                <w:rFonts w:ascii="Arial" w:cs="Arial" w:eastAsia="Arial" w:hAnsi="Arial"/>
                <w:color w:val="2C3848"/>
                <w:sz w:val="20"/>
                <w:szCs w:val="20"/>
              </w:rPr>
              <w:t xml:space="preserve">Coverage D is not a luxury — it is a financial lifeline after a major loss. Evaluate the Coverage D limit in the context of your local rental market. In expensive real estate markets, the standard 20–30% of Coverage A may be inadequate for extended displacement during a complete rebuild. Consider increasing Coverage D if your area has a high-cost rental market.</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A2E48" w:val="clear"/>
            <w:tcMar>
              <w:top w:type="dxa" w:w="160"/>
              <w:left w:type="dxa" w:w="240"/>
              <w:bottom w:type="dxa" w:w="160"/>
              <w:right w:type="dxa" w:w="240"/>
            </w:tcMar>
          </w:tcPr>
          <w:p>
            <w:pPr>
              <w:spacing w:after="0" w:before="0"/>
            </w:pPr>
            <w:r>
              <w:rPr>
                <w:rFonts w:ascii="Arial" w:cs="Arial" w:eastAsia="Arial" w:hAnsi="Arial"/>
                <w:b/>
                <w:bCs/>
                <w:color w:val="AABCCC"/>
                <w:sz w:val="22"/>
                <w:szCs w:val="22"/>
              </w:rPr>
              <w:t xml:space="preserve">Coverage E  |  </w:t>
            </w:r>
            <w:r>
              <w:rPr>
                <w:rFonts w:ascii="Arial" w:cs="Arial" w:eastAsia="Arial" w:hAnsi="Arial"/>
                <w:b/>
                <w:bCs/>
                <w:color w:val="FFFFFF"/>
                <w:sz w:val="28"/>
                <w:szCs w:val="28"/>
              </w:rPr>
              <w:t xml:space="preserve">Personal Liability Coverage</w:t>
            </w:r>
          </w:p>
        </w:tc>
      </w:tr>
    </w:tbl>
    <w:p>
      <w:pPr>
        <w:spacing w:after="0" w:before="100"/>
      </w:pPr>
      <w:r>
        <w:rPr>
          <w:rFonts w:ascii="Arial" w:cs="Arial" w:eastAsia="Arial" w:hAnsi="Arial"/>
        </w:rPr>
        <w:t xml:space="preserve"/>
      </w:r>
    </w:p>
    <w:p>
      <w:pPr>
        <w:spacing w:after="110" w:before="80"/>
      </w:pPr>
      <w:r>
        <w:rPr>
          <w:rFonts w:ascii="Arial" w:cs="Arial" w:eastAsia="Arial" w:hAnsi="Arial"/>
          <w:color w:val="141C28"/>
          <w:sz w:val="22"/>
          <w:szCs w:val="22"/>
        </w:rPr>
        <w:t xml:space="preserve">Coverage E provides personal liability protection for the homeowner and their household members against claims of bodily injury or property damage for which they are legally responsible. If someone is injured on the property, or if a household member accidentally causes injury or property damage to another person anywhere in the world, Coverage E pays legal defense costs and any resulting judgments or settlements up to the policy limit.</w:t>
      </w:r>
    </w:p>
    <w:p>
      <w:pPr>
        <w:spacing w:after="0" w:before="80"/>
      </w:pPr>
      <w:r>
        <w:rPr>
          <w:rFonts w:ascii="Arial" w:cs="Arial" w:eastAsia="Arial" w:hAnsi="Arial"/>
        </w:rPr>
        <w:t xml:space="preserve"/>
      </w:r>
    </w:p>
    <w:p>
      <w:pPr>
        <w:spacing w:after="110" w:before="80"/>
      </w:pPr>
      <w:r>
        <w:rPr>
          <w:rFonts w:ascii="Arial" w:cs="Arial" w:eastAsia="Arial" w:hAnsi="Arial"/>
          <w:color w:val="141C28"/>
          <w:sz w:val="22"/>
          <w:szCs w:val="22"/>
        </w:rPr>
        <w:t xml:space="preserve">Personal liability coverage is one of the most valuable components of a homeowners policy because it protects not just the home, but the homeowner’s entire financial picture — savings, investments, wages, and other assets — from being depleted by a liability judgment.</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A0B4C8" w:sz="1"/>
              <w:left w:val="single" w:color="A0B4C8" w:sz="1"/>
              <w:bottom w:val="single" w:color="A0B4C8" w:sz="1"/>
              <w:right w:val="single" w:color="A0B4C8" w:sz="1"/>
            </w:tcBorders>
            <w:shd w:fill="EAF0F5" w:val="clear"/>
            <w:tcMar>
              <w:top w:type="dxa" w:w="110"/>
              <w:left w:type="dxa" w:w="160"/>
              <w:bottom w:type="dxa" w:w="110"/>
              <w:right w:type="dxa" w:w="160"/>
            </w:tcMar>
          </w:tcPr>
          <w:p>
            <w:pPr>
              <w:spacing w:after="60" w:before="0"/>
            </w:pPr>
            <w:r>
              <w:rPr>
                <w:rFonts w:ascii="Arial" w:cs="Arial" w:eastAsia="Arial" w:hAnsi="Arial"/>
                <w:b/>
                <w:bCs/>
                <w:color w:val="2A4468"/>
                <w:sz w:val="19"/>
                <w:szCs w:val="19"/>
              </w:rPr>
              <w:t xml:space="preserve">What Coverage E Covers</w:t>
            </w:r>
          </w:p>
          <w:p>
            <w:pPr>
              <w:spacing w:after="0" w:before="0"/>
            </w:pPr>
            <w:r>
              <w:rPr>
                <w:rFonts w:ascii="Arial" w:cs="Arial" w:eastAsia="Arial" w:hAnsi="Arial"/>
                <w:color w:val="2C3848"/>
                <w:sz w:val="20"/>
                <w:szCs w:val="20"/>
              </w:rPr>
              <w:t xml:space="preserve">Bodily injury or property damage caused by the homeowner, household members, or pets to third parties. Claims for slip-and-fall accidents at the home, dog bites, accidental damage to a neighbor’s property, and other liability incidents are covered. Coverage extends worldwide for personal liability incidents, not just those occurring at the home.</w:t>
            </w:r>
          </w:p>
        </w:tc>
        <w:tc>
          <w:tcPr>
            <w:tcW w:type="dxa" w:w="4620"/>
            <w:tcBorders>
              <w:top w:val="single" w:color="A0B4C8" w:sz="1"/>
              <w:left w:val="single" w:color="A0B4C8" w:sz="1"/>
              <w:bottom w:val="single" w:color="A0B4C8" w:sz="1"/>
              <w:right w:val="single" w:color="A0B4C8" w:sz="1"/>
            </w:tcBorders>
            <w:shd w:fill="EAF0F5" w:val="clear"/>
            <w:tcMar>
              <w:top w:type="dxa" w:w="110"/>
              <w:left w:type="dxa" w:w="160"/>
              <w:bottom w:type="dxa" w:w="110"/>
              <w:right w:type="dxa" w:w="160"/>
            </w:tcMar>
          </w:tcPr>
          <w:p>
            <w:pPr>
              <w:spacing w:after="60" w:before="0"/>
            </w:pPr>
            <w:r>
              <w:rPr>
                <w:rFonts w:ascii="Arial" w:cs="Arial" w:eastAsia="Arial" w:hAnsi="Arial"/>
                <w:b/>
                <w:bCs/>
                <w:color w:val="2A4468"/>
                <w:sz w:val="19"/>
                <w:szCs w:val="19"/>
              </w:rPr>
              <w:t xml:space="preserve">Legal Defense Coverage</w:t>
            </w:r>
          </w:p>
          <w:p>
            <w:pPr>
              <w:spacing w:after="0" w:before="0"/>
            </w:pPr>
            <w:r>
              <w:rPr>
                <w:rFonts w:ascii="Arial" w:cs="Arial" w:eastAsia="Arial" w:hAnsi="Arial"/>
                <w:color w:val="2C3848"/>
                <w:sz w:val="20"/>
                <w:szCs w:val="20"/>
              </w:rPr>
              <w:t xml:space="preserve">Coverage E pays for attorney fees, court costs, and all legal defense expenses for covered claims — in addition to, and separate from, the liability limit. Legal defense for a serious liability claim can cost $50,000–$150,000 even when the insured ultimately prevails. These defense costs are covered regardless of whether the claim has merit.</w:t>
            </w:r>
          </w:p>
        </w:tc>
      </w:tr>
      <w:tr>
        <w:tc>
          <w:tcPr>
            <w:tcW w:type="dxa" w:w="4620"/>
            <w:tcBorders>
              <w:top w:val="single" w:color="A0B4C8" w:sz="1"/>
              <w:left w:val="single" w:color="A0B4C8" w:sz="1"/>
              <w:bottom w:val="single" w:color="A0B4C8" w:sz="1"/>
              <w:right w:val="single" w:color="A0B4C8" w:sz="1"/>
            </w:tcBorders>
            <w:shd w:fill="EAF0F5" w:val="clear"/>
            <w:tcMar>
              <w:top w:type="dxa" w:w="110"/>
              <w:left w:type="dxa" w:w="160"/>
              <w:bottom w:type="dxa" w:w="110"/>
              <w:right w:type="dxa" w:w="160"/>
            </w:tcMar>
          </w:tcPr>
          <w:p>
            <w:pPr>
              <w:spacing w:after="60" w:before="0"/>
            </w:pPr>
            <w:r>
              <w:rPr>
                <w:rFonts w:ascii="Arial" w:cs="Arial" w:eastAsia="Arial" w:hAnsi="Arial"/>
                <w:b/>
                <w:bCs/>
                <w:color w:val="2A4468"/>
                <w:sz w:val="19"/>
                <w:szCs w:val="19"/>
              </w:rPr>
              <w:t xml:space="preserve">What Coverage E Does NOT Cover</w:t>
            </w:r>
          </w:p>
          <w:p>
            <w:pPr>
              <w:spacing w:after="0" w:before="0"/>
            </w:pPr>
            <w:r>
              <w:rPr>
                <w:rFonts w:ascii="Arial" w:cs="Arial" w:eastAsia="Arial" w:hAnsi="Arial"/>
                <w:color w:val="2C3848"/>
                <w:sz w:val="20"/>
                <w:szCs w:val="20"/>
              </w:rPr>
              <w:t xml:space="preserve">Intentional acts, business activities at the home, claims covered by auto insurance (vehicle-related injuries), professional liability, claims by household members against each other, and any claim arising from the ownership or use of aircraft or watercraft excluded by the policy.</w:t>
            </w:r>
          </w:p>
        </w:tc>
        <w:tc>
          <w:tcPr>
            <w:tcW w:type="dxa" w:w="4620"/>
            <w:tcBorders>
              <w:top w:val="single" w:color="A0B4C8" w:sz="1"/>
              <w:left w:val="single" w:color="A0B4C8" w:sz="1"/>
              <w:bottom w:val="single" w:color="A0B4C8" w:sz="1"/>
              <w:right w:val="single" w:color="A0B4C8" w:sz="1"/>
            </w:tcBorders>
            <w:shd w:fill="EAF0F5" w:val="clear"/>
            <w:tcMar>
              <w:top w:type="dxa" w:w="110"/>
              <w:left w:type="dxa" w:w="160"/>
              <w:bottom w:type="dxa" w:w="110"/>
              <w:right w:type="dxa" w:w="160"/>
            </w:tcMar>
          </w:tcPr>
          <w:p>
            <w:pPr>
              <w:spacing w:after="60" w:before="0"/>
            </w:pPr>
            <w:r>
              <w:rPr>
                <w:rFonts w:ascii="Arial" w:cs="Arial" w:eastAsia="Arial" w:hAnsi="Arial"/>
                <w:b/>
                <w:bCs/>
                <w:color w:val="2A4468"/>
                <w:sz w:val="19"/>
                <w:szCs w:val="19"/>
              </w:rPr>
              <w:t xml:space="preserve">Standard Limits and Increases</w:t>
            </w:r>
          </w:p>
          <w:p>
            <w:pPr>
              <w:spacing w:after="0" w:before="0"/>
            </w:pPr>
            <w:r>
              <w:rPr>
                <w:rFonts w:ascii="Arial" w:cs="Arial" w:eastAsia="Arial" w:hAnsi="Arial"/>
                <w:color w:val="2C3848"/>
                <w:sz w:val="20"/>
                <w:szCs w:val="20"/>
              </w:rPr>
              <w:t xml:space="preserve">Standard Coverage E limits are $100,000, which is inadequate for most homeowners with any meaningful assets. Limits of $300,000 or $500,000 are available for a modest premium increase. A personal umbrella policy provides $1 million or more in additional liability above the homeowners policy limit and is strongly recommended for most homeowners.</w:t>
            </w:r>
          </w:p>
        </w:tc>
      </w:tr>
    </w:tbl>
    <w:p>
      <w:pPr>
        <w:spacing w:after="0" w:before="100"/>
      </w:pPr>
      <w:r>
        <w:rPr>
          <w:rFonts w:ascii="Arial" w:cs="Arial" w:eastAsia="Arial" w:hAnsi="Arial"/>
        </w:rPr>
        <w:t xml:space="preserve"/>
      </w:r>
    </w:p>
    <w:p>
      <w:pPr>
        <w:pBdr>
          <w:bottom w:val="single" w:color="AABCCC" w:sz="4" w:space="4"/>
        </w:pBdr>
        <w:spacing w:after="80" w:before="220"/>
      </w:pPr>
      <w:r>
        <w:rPr>
          <w:rFonts w:ascii="Arial" w:cs="Arial" w:eastAsia="Arial" w:hAnsi="Arial"/>
          <w:b/>
          <w:bCs/>
          <w:color w:val="1A2E48"/>
          <w:sz w:val="24"/>
          <w:szCs w:val="24"/>
        </w:rPr>
        <w:t xml:space="preserve">Common Coverage E Claim Scenarios</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2A4468"/>
          <w:sz w:val="22"/>
          <w:szCs w:val="22"/>
        </w:rPr>
        <w:t xml:space="preserve">Slip and fall on property — </w:t>
      </w:r>
      <w:r>
        <w:rPr>
          <w:rFonts w:ascii="Arial" w:cs="Arial" w:eastAsia="Arial" w:hAnsi="Arial"/>
          <w:color w:val="2C3848"/>
          <w:sz w:val="22"/>
          <w:szCs w:val="22"/>
        </w:rPr>
        <w:t xml:space="preserve">a mail carrier slips on an icy walkway, a party guest falls down the stairs, or a child is injured on the homeowner’s trampoline; Coverage E responds to the resulting medical and legal claims</w:t>
      </w:r>
    </w:p>
    <w:p>
      <w:pPr>
        <w:pStyle w:val="ListParagraph"/>
        <w:numPr>
          <w:ilvl w:val="0"/>
          <w:numId w:val="2"/>
        </w:numPr>
        <w:spacing w:after="60" w:before="60"/>
      </w:pPr>
      <w:r>
        <w:rPr>
          <w:rFonts w:ascii="Arial" w:cs="Arial" w:eastAsia="Arial" w:hAnsi="Arial"/>
          <w:b/>
          <w:bCs/>
          <w:color w:val="2A4468"/>
          <w:sz w:val="22"/>
          <w:szCs w:val="22"/>
        </w:rPr>
        <w:t xml:space="preserve">Dog bites — </w:t>
      </w:r>
      <w:r>
        <w:rPr>
          <w:rFonts w:ascii="Arial" w:cs="Arial" w:eastAsia="Arial" w:hAnsi="Arial"/>
          <w:color w:val="2C3848"/>
          <w:sz w:val="22"/>
          <w:szCs w:val="22"/>
        </w:rPr>
        <w:t xml:space="preserve">dog bite claims are one of the most frequent sources of homeowners liability claims, with average settlements exceeding $50,000; Coverage E covers dog bite liability in most states and policies</w:t>
      </w:r>
    </w:p>
    <w:p>
      <w:pPr>
        <w:pStyle w:val="ListParagraph"/>
        <w:numPr>
          <w:ilvl w:val="0"/>
          <w:numId w:val="2"/>
        </w:numPr>
        <w:spacing w:after="60" w:before="60"/>
      </w:pPr>
      <w:r>
        <w:rPr>
          <w:rFonts w:ascii="Arial" w:cs="Arial" w:eastAsia="Arial" w:hAnsi="Arial"/>
          <w:b/>
          <w:bCs/>
          <w:color w:val="2A4468"/>
          <w:sz w:val="22"/>
          <w:szCs w:val="22"/>
        </w:rPr>
        <w:t xml:space="preserve">Swimming pool incidents — </w:t>
      </w:r>
      <w:r>
        <w:rPr>
          <w:rFonts w:ascii="Arial" w:cs="Arial" w:eastAsia="Arial" w:hAnsi="Arial"/>
          <w:color w:val="2C3848"/>
          <w:sz w:val="22"/>
          <w:szCs w:val="22"/>
        </w:rPr>
        <w:t xml:space="preserve">pools create significant liability exposure; drowning or near-drowning incidents, diving injuries, and other pool-related accidents generate some of the highest liability claims homeowners face</w:t>
      </w:r>
    </w:p>
    <w:p>
      <w:pPr>
        <w:pStyle w:val="ListParagraph"/>
        <w:numPr>
          <w:ilvl w:val="0"/>
          <w:numId w:val="2"/>
        </w:numPr>
        <w:spacing w:after="60" w:before="60"/>
      </w:pPr>
      <w:r>
        <w:rPr>
          <w:rFonts w:ascii="Arial" w:cs="Arial" w:eastAsia="Arial" w:hAnsi="Arial"/>
          <w:b/>
          <w:bCs/>
          <w:color w:val="2A4468"/>
          <w:sz w:val="22"/>
          <w:szCs w:val="22"/>
        </w:rPr>
        <w:t xml:space="preserve">Tree damage to neighbor’s property — </w:t>
      </w:r>
      <w:r>
        <w:rPr>
          <w:rFonts w:ascii="Arial" w:cs="Arial" w:eastAsia="Arial" w:hAnsi="Arial"/>
          <w:color w:val="2C3848"/>
          <w:sz w:val="22"/>
          <w:szCs w:val="22"/>
        </w:rPr>
        <w:t xml:space="preserve">if a tree on the homeowner’s property falls on a neighbor’s car, fence, or home and negligence can be established, Coverage E responds to the damage claim</w:t>
      </w:r>
    </w:p>
    <w:p>
      <w:pPr>
        <w:pStyle w:val="ListParagraph"/>
        <w:numPr>
          <w:ilvl w:val="0"/>
          <w:numId w:val="2"/>
        </w:numPr>
        <w:spacing w:after="60" w:before="60"/>
      </w:pPr>
      <w:r>
        <w:rPr>
          <w:rFonts w:ascii="Arial" w:cs="Arial" w:eastAsia="Arial" w:hAnsi="Arial"/>
          <w:b/>
          <w:bCs/>
          <w:color w:val="2A4468"/>
          <w:sz w:val="22"/>
          <w:szCs w:val="22"/>
        </w:rPr>
        <w:t xml:space="preserve">Accidental damage away from home — </w:t>
      </w:r>
      <w:r>
        <w:rPr>
          <w:rFonts w:ascii="Arial" w:cs="Arial" w:eastAsia="Arial" w:hAnsi="Arial"/>
          <w:color w:val="2C3848"/>
          <w:sz w:val="22"/>
          <w:szCs w:val="22"/>
        </w:rPr>
        <w:t xml:space="preserve">a household member who accidentally breaks an expensive item while visiting a friend, or who accidentally damages property at a rental, is covered under Coverage E’s worldwide personal liability provision</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B1A1A" w:sz="18"/>
              <w:bottom w:val="none" w:color="FFFFFF" w:sz="0"/>
              <w:right w:val="none" w:color="FFFFFF" w:sz="0"/>
            </w:tcBorders>
            <w:shd w:fill="FDF0F0" w:val="clear"/>
            <w:tcMar>
              <w:top w:type="dxa" w:w="110"/>
              <w:left w:type="dxa" w:w="200"/>
              <w:bottom w:type="dxa" w:w="110"/>
              <w:right w:type="dxa" w:w="160"/>
            </w:tcMar>
          </w:tcPr>
          <w:p>
            <w:pPr>
              <w:spacing w:after="60" w:before="0"/>
            </w:pPr>
            <w:r>
              <w:rPr>
                <w:rFonts w:ascii="Arial" w:cs="Arial" w:eastAsia="Arial" w:hAnsi="Arial"/>
                <w:b/>
                <w:bCs/>
                <w:caps/>
                <w:color w:val="8B1A1A"/>
                <w:sz w:val="19"/>
                <w:szCs w:val="19"/>
              </w:rPr>
              <w:t xml:space="preserve">$100,000 Is Almost Always Insufficient</w:t>
            </w:r>
          </w:p>
          <w:p>
            <w:pPr>
              <w:spacing w:after="0" w:before="0"/>
            </w:pPr>
            <w:r>
              <w:rPr>
                <w:rFonts w:ascii="Arial" w:cs="Arial" w:eastAsia="Arial" w:hAnsi="Arial"/>
                <w:color w:val="5A1010"/>
                <w:sz w:val="20"/>
                <w:szCs w:val="20"/>
              </w:rPr>
              <w:t xml:space="preserve">The standard $100,000 Coverage E limit was established decades ago and has not kept pace with the cost of serious injury claims. A single serious injury claim from a pool accident, a serious fall, or a dog bite can easily reach $200,000 to $500,000 or more. Homeowners with any meaningful assets — home equity, retirement savings, investments — should carry at least $300,000–$500,000 in Coverage E and add a personal umbrella policy for additional protection.</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A2E48" w:val="clear"/>
            <w:tcMar>
              <w:top w:type="dxa" w:w="160"/>
              <w:left w:type="dxa" w:w="240"/>
              <w:bottom w:type="dxa" w:w="160"/>
              <w:right w:type="dxa" w:w="240"/>
            </w:tcMar>
          </w:tcPr>
          <w:p>
            <w:pPr>
              <w:spacing w:after="0" w:before="0"/>
            </w:pPr>
            <w:r>
              <w:rPr>
                <w:rFonts w:ascii="Arial" w:cs="Arial" w:eastAsia="Arial" w:hAnsi="Arial"/>
                <w:b/>
                <w:bCs/>
                <w:color w:val="AABCCC"/>
                <w:sz w:val="22"/>
                <w:szCs w:val="22"/>
              </w:rPr>
              <w:t xml:space="preserve">Coverage F  |  </w:t>
            </w:r>
            <w:r>
              <w:rPr>
                <w:rFonts w:ascii="Arial" w:cs="Arial" w:eastAsia="Arial" w:hAnsi="Arial"/>
                <w:b/>
                <w:bCs/>
                <w:color w:val="FFFFFF"/>
                <w:sz w:val="28"/>
                <w:szCs w:val="28"/>
              </w:rPr>
              <w:t xml:space="preserve">Medical Payments to Others</w:t>
            </w:r>
          </w:p>
        </w:tc>
      </w:tr>
    </w:tbl>
    <w:p>
      <w:pPr>
        <w:spacing w:after="0" w:before="100"/>
      </w:pPr>
      <w:r>
        <w:rPr>
          <w:rFonts w:ascii="Arial" w:cs="Arial" w:eastAsia="Arial" w:hAnsi="Arial"/>
        </w:rPr>
        <w:t xml:space="preserve"/>
      </w:r>
    </w:p>
    <w:p>
      <w:pPr>
        <w:spacing w:after="110" w:before="80"/>
      </w:pPr>
      <w:r>
        <w:rPr>
          <w:rFonts w:ascii="Arial" w:cs="Arial" w:eastAsia="Arial" w:hAnsi="Arial"/>
          <w:color w:val="141C28"/>
          <w:sz w:val="22"/>
          <w:szCs w:val="22"/>
        </w:rPr>
        <w:t xml:space="preserve">Coverage F provides a small amount of medical expense coverage for guests and visitors who are injured on the insured property — regardless of whether the homeowner is legally liable for the injury. Unlike Coverage E (personal liability), Coverage F does not require a legal determination of fault or negligence. It pays medical bills up to its limit simply because a guest was injured on the premises.</w:t>
      </w:r>
    </w:p>
    <w:p>
      <w:pPr>
        <w:spacing w:after="0" w:before="80"/>
      </w:pPr>
      <w:r>
        <w:rPr>
          <w:rFonts w:ascii="Arial" w:cs="Arial" w:eastAsia="Arial" w:hAnsi="Arial"/>
        </w:rPr>
        <w:t xml:space="preserve"/>
      </w:r>
    </w:p>
    <w:p>
      <w:pPr>
        <w:spacing w:after="110" w:before="80"/>
      </w:pPr>
      <w:r>
        <w:rPr>
          <w:rFonts w:ascii="Arial" w:cs="Arial" w:eastAsia="Arial" w:hAnsi="Arial"/>
          <w:color w:val="141C28"/>
          <w:sz w:val="22"/>
          <w:szCs w:val="22"/>
        </w:rPr>
        <w:t xml:space="preserve">Coverage F is a goodwill coverage: it allows the homeowner to promptly pay a guest’s minor medical expenses without admitting liability and without the adversarial process of a formal liability claim. This can prevent minor incidents from escalating into full liability lawsuits and preserves the homeowner’s relationship with the injured party.</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A0B4C8" w:sz="1"/>
              <w:left w:val="single" w:color="A0B4C8" w:sz="1"/>
              <w:bottom w:val="single" w:color="A0B4C8" w:sz="1"/>
              <w:right w:val="single" w:color="A0B4C8" w:sz="1"/>
            </w:tcBorders>
            <w:shd w:fill="EAF0F5" w:val="clear"/>
            <w:tcMar>
              <w:top w:type="dxa" w:w="110"/>
              <w:left w:type="dxa" w:w="160"/>
              <w:bottom w:type="dxa" w:w="110"/>
              <w:right w:type="dxa" w:w="160"/>
            </w:tcMar>
          </w:tcPr>
          <w:p>
            <w:pPr>
              <w:spacing w:after="60" w:before="0"/>
            </w:pPr>
            <w:r>
              <w:rPr>
                <w:rFonts w:ascii="Arial" w:cs="Arial" w:eastAsia="Arial" w:hAnsi="Arial"/>
                <w:b/>
                <w:bCs/>
                <w:color w:val="2A4468"/>
                <w:sz w:val="19"/>
                <w:szCs w:val="19"/>
              </w:rPr>
              <w:t xml:space="preserve">What Coverage F Covers</w:t>
            </w:r>
          </w:p>
          <w:p>
            <w:pPr>
              <w:spacing w:after="0" w:before="0"/>
            </w:pPr>
            <w:r>
              <w:rPr>
                <w:rFonts w:ascii="Arial" w:cs="Arial" w:eastAsia="Arial" w:hAnsi="Arial"/>
                <w:color w:val="2C3848"/>
                <w:sz w:val="20"/>
                <w:szCs w:val="20"/>
              </w:rPr>
              <w:t xml:space="preserve">Reasonable medical expenses — emergency room visits, x-rays, surgery, physician fees, ambulance, hospital stays, and professional nursing care — for guests injured on the insured premises or injured by household members or pets off-premises. Coverage is per person per occurrence.</w:t>
            </w:r>
          </w:p>
        </w:tc>
        <w:tc>
          <w:tcPr>
            <w:tcW w:type="dxa" w:w="4620"/>
            <w:tcBorders>
              <w:top w:val="single" w:color="A0B4C8" w:sz="1"/>
              <w:left w:val="single" w:color="A0B4C8" w:sz="1"/>
              <w:bottom w:val="single" w:color="A0B4C8" w:sz="1"/>
              <w:right w:val="single" w:color="A0B4C8" w:sz="1"/>
            </w:tcBorders>
            <w:shd w:fill="EAF0F5" w:val="clear"/>
            <w:tcMar>
              <w:top w:type="dxa" w:w="110"/>
              <w:left w:type="dxa" w:w="160"/>
              <w:bottom w:type="dxa" w:w="110"/>
              <w:right w:type="dxa" w:w="160"/>
            </w:tcMar>
          </w:tcPr>
          <w:p>
            <w:pPr>
              <w:spacing w:after="60" w:before="0"/>
            </w:pPr>
            <w:r>
              <w:rPr>
                <w:rFonts w:ascii="Arial" w:cs="Arial" w:eastAsia="Arial" w:hAnsi="Arial"/>
                <w:b/>
                <w:bCs/>
                <w:color w:val="2A4468"/>
                <w:sz w:val="19"/>
                <w:szCs w:val="19"/>
              </w:rPr>
              <w:t xml:space="preserve">No-Fault Coverage</w:t>
            </w:r>
          </w:p>
          <w:p>
            <w:pPr>
              <w:spacing w:after="0" w:before="0"/>
            </w:pPr>
            <w:r>
              <w:rPr>
                <w:rFonts w:ascii="Arial" w:cs="Arial" w:eastAsia="Arial" w:hAnsi="Arial"/>
                <w:color w:val="2C3848"/>
                <w:sz w:val="20"/>
                <w:szCs w:val="20"/>
              </w:rPr>
              <w:t xml:space="preserve">Coverage F pays regardless of whether the homeowner is legally liable for the injury. A guest who trips over their own shoelaces in the homeowner’s living room is covered, even though the homeowner did nothing wrong. This is the fundamental distinction from Coverage E, which requires legal liability.</w:t>
            </w:r>
          </w:p>
        </w:tc>
      </w:tr>
      <w:tr>
        <w:tc>
          <w:tcPr>
            <w:tcW w:type="dxa" w:w="4620"/>
            <w:tcBorders>
              <w:top w:val="single" w:color="A0B4C8" w:sz="1"/>
              <w:left w:val="single" w:color="A0B4C8" w:sz="1"/>
              <w:bottom w:val="single" w:color="A0B4C8" w:sz="1"/>
              <w:right w:val="single" w:color="A0B4C8" w:sz="1"/>
            </w:tcBorders>
            <w:shd w:fill="EAF0F5" w:val="clear"/>
            <w:tcMar>
              <w:top w:type="dxa" w:w="110"/>
              <w:left w:type="dxa" w:w="160"/>
              <w:bottom w:type="dxa" w:w="110"/>
              <w:right w:type="dxa" w:w="160"/>
            </w:tcMar>
          </w:tcPr>
          <w:p>
            <w:pPr>
              <w:spacing w:after="60" w:before="0"/>
            </w:pPr>
            <w:r>
              <w:rPr>
                <w:rFonts w:ascii="Arial" w:cs="Arial" w:eastAsia="Arial" w:hAnsi="Arial"/>
                <w:b/>
                <w:bCs/>
                <w:color w:val="2A4468"/>
                <w:sz w:val="19"/>
                <w:szCs w:val="19"/>
              </w:rPr>
              <w:t xml:space="preserve">Standard Limits</w:t>
            </w:r>
          </w:p>
          <w:p>
            <w:pPr>
              <w:spacing w:after="0" w:before="0"/>
            </w:pPr>
            <w:r>
              <w:rPr>
                <w:rFonts w:ascii="Arial" w:cs="Arial" w:eastAsia="Arial" w:hAnsi="Arial"/>
                <w:color w:val="2C3848"/>
                <w:sz w:val="20"/>
                <w:szCs w:val="20"/>
              </w:rPr>
              <w:t xml:space="preserve">Typically $1,000–$5,000 per person. Some policies allow increases to $10,000. These limits are intentionally modest — Coverage F is designed for minor injury situations, not serious injuries. Serious injuries generate Coverage E claims, not Coverage F claims.</w:t>
            </w:r>
          </w:p>
        </w:tc>
        <w:tc>
          <w:tcPr>
            <w:tcW w:type="dxa" w:w="4620"/>
            <w:tcBorders>
              <w:top w:val="single" w:color="A0B4C8" w:sz="1"/>
              <w:left w:val="single" w:color="A0B4C8" w:sz="1"/>
              <w:bottom w:val="single" w:color="A0B4C8" w:sz="1"/>
              <w:right w:val="single" w:color="A0B4C8" w:sz="1"/>
            </w:tcBorders>
            <w:shd w:fill="EAF0F5" w:val="clear"/>
            <w:tcMar>
              <w:top w:type="dxa" w:w="110"/>
              <w:left w:type="dxa" w:w="160"/>
              <w:bottom w:type="dxa" w:w="110"/>
              <w:right w:type="dxa" w:w="160"/>
            </w:tcMar>
          </w:tcPr>
          <w:p>
            <w:pPr>
              <w:spacing w:after="60" w:before="0"/>
            </w:pPr>
            <w:r>
              <w:rPr>
                <w:rFonts w:ascii="Arial" w:cs="Arial" w:eastAsia="Arial" w:hAnsi="Arial"/>
                <w:b/>
                <w:bCs/>
                <w:color w:val="2A4468"/>
                <w:sz w:val="19"/>
                <w:szCs w:val="19"/>
              </w:rPr>
              <w:t xml:space="preserve">What Coverage F Does NOT Cover</w:t>
            </w:r>
          </w:p>
          <w:p>
            <w:pPr>
              <w:spacing w:after="0" w:before="0"/>
            </w:pPr>
            <w:r>
              <w:rPr>
                <w:rFonts w:ascii="Arial" w:cs="Arial" w:eastAsia="Arial" w:hAnsi="Arial"/>
                <w:color w:val="2C3848"/>
                <w:sz w:val="20"/>
                <w:szCs w:val="20"/>
              </w:rPr>
              <w:t xml:space="preserve">Injuries to the homeowner or household members (only guests and third parties), injuries to employees covered by workers’ compensation, and injuries intentionally caused. Coverage F is strictly for accidental injuries to non-household guests and visitors.</w:t>
            </w:r>
          </w:p>
        </w:tc>
      </w:tr>
    </w:tbl>
    <w:p>
      <w:pPr>
        <w:spacing w:after="0" w:before="100"/>
      </w:pPr>
      <w:r>
        <w:rPr>
          <w:rFonts w:ascii="Arial" w:cs="Arial" w:eastAsia="Arial" w:hAnsi="Arial"/>
        </w:rPr>
        <w:t xml:space="preserve"/>
      </w:r>
    </w:p>
    <w:p>
      <w:pPr>
        <w:pBdr>
          <w:bottom w:val="single" w:color="AABCCC" w:sz="4" w:space="4"/>
        </w:pBdr>
        <w:spacing w:after="80" w:before="220"/>
      </w:pPr>
      <w:r>
        <w:rPr>
          <w:rFonts w:ascii="Arial" w:cs="Arial" w:eastAsia="Arial" w:hAnsi="Arial"/>
          <w:b/>
          <w:bCs/>
          <w:color w:val="1A2E48"/>
          <w:sz w:val="24"/>
          <w:szCs w:val="24"/>
        </w:rPr>
        <w:t xml:space="preserve">Coverage F vs. Coverage E — The Key Distinction</w:t>
      </w:r>
    </w:p>
    <w:p>
      <w:pPr>
        <w:spacing w:after="110" w:before="80"/>
      </w:pPr>
      <w:r>
        <w:rPr>
          <w:rFonts w:ascii="Arial" w:cs="Arial" w:eastAsia="Arial" w:hAnsi="Arial"/>
          <w:color w:val="141C28"/>
          <w:sz w:val="22"/>
          <w:szCs w:val="22"/>
        </w:rPr>
        <w:t xml:space="preserve">The relationship between Coverage F and Coverage E is complementary and sequential. Coverage F handles the immediate, no-fault payment of minor medical expenses for guest injuries — typically resolving incidents quickly and preventing disputes. Coverage E handles the formal liability claims that arise when a guest’s injuries are serious enough to generate a legal claim, or when the guest (or their attorney) determines that the homeowner is at fault and seeks damages beyond the modest Coverage F limit.</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0F4A58" w:sz="18"/>
              <w:bottom w:val="none" w:color="FFFFFF" w:sz="0"/>
              <w:right w:val="none" w:color="FFFFFF" w:sz="0"/>
            </w:tcBorders>
            <w:shd w:fill="E8F4F7" w:val="clear"/>
            <w:tcMar>
              <w:top w:type="dxa" w:w="110"/>
              <w:left w:type="dxa" w:w="200"/>
              <w:bottom w:type="dxa" w:w="110"/>
              <w:right w:type="dxa" w:w="160"/>
            </w:tcMar>
          </w:tcPr>
          <w:p>
            <w:pPr>
              <w:spacing w:after="60" w:before="0"/>
            </w:pPr>
            <w:r>
              <w:rPr>
                <w:rFonts w:ascii="Arial" w:cs="Arial" w:eastAsia="Arial" w:hAnsi="Arial"/>
                <w:b/>
                <w:bCs/>
                <w:caps/>
                <w:color w:val="0F4A58"/>
                <w:sz w:val="19"/>
                <w:szCs w:val="19"/>
              </w:rPr>
              <w:t xml:space="preserve">Coverage F Preventing a Coverage E Claim</w:t>
            </w:r>
          </w:p>
          <w:p>
            <w:pPr>
              <w:spacing w:after="0" w:before="0"/>
            </w:pPr>
            <w:r>
              <w:rPr>
                <w:rFonts w:ascii="Arial" w:cs="Arial" w:eastAsia="Arial" w:hAnsi="Arial"/>
                <w:color w:val="0A2830"/>
                <w:sz w:val="20"/>
                <w:szCs w:val="20"/>
              </w:rPr>
              <w:t xml:space="preserve">A homeowner hosts a dinner party. A guest trips on a loose rug and sprains their ankle. Emergency room visit: $1,200. The homeowner’s Coverage F pays the $1,200 immediately, without admission of fault and without a formal claim process. The guest is satisfied, the relationship is preserved, and the incident does not escalate into a lawsuit. Without Coverage F, the homeowner might have been slow to respond, souring the relationship and potentially leading to a formal liability claim under Coverage E.</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A4468" w:sz="18"/>
              <w:bottom w:val="none" w:color="FFFFFF" w:sz="0"/>
              <w:right w:val="none" w:color="FFFFFF" w:sz="0"/>
            </w:tcBorders>
            <w:shd w:fill="EAF0F5" w:val="clear"/>
            <w:tcMar>
              <w:top w:type="dxa" w:w="110"/>
              <w:left w:type="dxa" w:w="200"/>
              <w:bottom w:type="dxa" w:w="110"/>
              <w:right w:type="dxa" w:w="160"/>
            </w:tcMar>
          </w:tcPr>
          <w:p>
            <w:pPr>
              <w:spacing w:after="0" w:before="0"/>
            </w:pPr>
            <w:r>
              <w:rPr>
                <w:rFonts w:ascii="Arial" w:cs="Arial" w:eastAsia="Arial" w:hAnsi="Arial"/>
                <w:b/>
                <w:bCs/>
                <w:color w:val="1A2E48"/>
                <w:sz w:val="20"/>
                <w:szCs w:val="20"/>
              </w:rPr>
              <w:t xml:space="preserve">Key Takeaway: </w:t>
            </w:r>
            <w:r>
              <w:rPr>
                <w:rFonts w:ascii="Arial" w:cs="Arial" w:eastAsia="Arial" w:hAnsi="Arial"/>
                <w:color w:val="2C3848"/>
                <w:sz w:val="20"/>
                <w:szCs w:val="20"/>
              </w:rPr>
              <w:t xml:space="preserve">Coverage F is an inexpensive but meaningful component of a homeowners policy. Its primary value is not the limit size — which is intentionally small — but the speed and simplicity of the no-fault payment mechanism that can prevent minor incidents from becoming major liability disputes.</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A2E48" w:val="clear"/>
            <w:tcMar>
              <w:top w:type="dxa" w:w="160"/>
              <w:left w:type="dxa" w:w="240"/>
              <w:bottom w:type="dxa" w:w="160"/>
              <w:right w:type="dxa" w:w="240"/>
            </w:tcMar>
          </w:tcPr>
          <w:p>
            <w:pPr>
              <w:spacing w:after="0" w:before="0"/>
            </w:pPr>
            <w:r>
              <w:rPr>
                <w:rFonts w:ascii="Arial" w:cs="Arial" w:eastAsia="Arial" w:hAnsi="Arial"/>
                <w:b/>
                <w:bCs/>
                <w:color w:val="AABCCC"/>
                <w:sz w:val="28"/>
                <w:szCs w:val="28"/>
              </w:rPr>
              <w:t xml:space="preserve">6.  </w:t>
            </w:r>
            <w:r>
              <w:rPr>
                <w:rFonts w:ascii="Arial" w:cs="Arial" w:eastAsia="Arial" w:hAnsi="Arial"/>
                <w:b/>
                <w:bCs/>
                <w:color w:val="FFFFFF"/>
                <w:sz w:val="28"/>
                <w:szCs w:val="28"/>
              </w:rPr>
              <w:t xml:space="preserve">Open Perils vs. Named Perils Policies</w:t>
            </w:r>
          </w:p>
        </w:tc>
      </w:tr>
    </w:tbl>
    <w:p>
      <w:pPr>
        <w:spacing w:after="0" w:before="100"/>
      </w:pPr>
      <w:r>
        <w:rPr>
          <w:rFonts w:ascii="Arial" w:cs="Arial" w:eastAsia="Arial" w:hAnsi="Arial"/>
        </w:rPr>
        <w:t xml:space="preserve"/>
      </w:r>
    </w:p>
    <w:p>
      <w:pPr>
        <w:spacing w:after="110" w:before="80"/>
      </w:pPr>
      <w:r>
        <w:rPr>
          <w:rFonts w:ascii="Arial" w:cs="Arial" w:eastAsia="Arial" w:hAnsi="Arial"/>
          <w:color w:val="141C28"/>
          <w:sz w:val="22"/>
          <w:szCs w:val="22"/>
        </w:rPr>
        <w:t xml:space="preserve">One of the most fundamental distinctions in homeowners insurance is the difference between open perils (also called “all-risk” or “special form”) coverage and named perils coverage. This distinction determines how a claim is adjudicated: open perils policies cover all losses unless specifically excluded, while named perils policies cover only losses from specifically listed causes.</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900"/>
        <w:gridCol w:w="3230"/>
        <w:gridCol w:w="3230"/>
      </w:tblGrid>
      <w:tr>
        <w:tc>
          <w:tcPr>
            <w:tcW w:type="dxa" w:w="2900"/>
            <w:tcBorders>
              <w:top w:val="none" w:color="FFFFFF" w:sz="0"/>
              <w:left w:val="none" w:color="FFFFFF" w:sz="0"/>
              <w:bottom w:val="none" w:color="FFFFFF" w:sz="0"/>
              <w:right w:val="none" w:color="FFFFFF" w:sz="0"/>
            </w:tcBorders>
            <w:shd w:fill="1E2C3A"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Feature</w:t>
            </w:r>
          </w:p>
        </w:tc>
        <w:tc>
          <w:tcPr>
            <w:tcW w:type="dxa" w:w="3230"/>
            <w:tcBorders>
              <w:top w:val="none" w:color="FFFFFF" w:sz="0"/>
              <w:left w:val="none" w:color="FFFFFF" w:sz="0"/>
              <w:bottom w:val="none" w:color="FFFFFF" w:sz="0"/>
              <w:right w:val="none" w:color="FFFFFF" w:sz="0"/>
            </w:tcBorders>
            <w:shd w:fill="2A4468"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Open Perils (All-Risk)</w:t>
            </w:r>
          </w:p>
        </w:tc>
        <w:tc>
          <w:tcPr>
            <w:tcW w:type="dxa" w:w="3230"/>
            <w:tcBorders>
              <w:top w:val="none" w:color="FFFFFF" w:sz="0"/>
              <w:left w:val="none" w:color="FFFFFF" w:sz="0"/>
              <w:bottom w:val="none" w:color="FFFFFF" w:sz="0"/>
              <w:right w:val="none" w:color="FFFFFF" w:sz="0"/>
            </w:tcBorders>
            <w:shd w:fill="2A4468"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Named Perils</w:t>
            </w:r>
          </w:p>
        </w:tc>
      </w:tr>
      <w:tr>
        <w:tc>
          <w:tcPr>
            <w:tcW w:type="dxa" w:w="2900"/>
            <w:tcBorders>
              <w:top w:val="single" w:color="A0B4C8" w:sz="1"/>
              <w:left w:val="single" w:color="A0B4C8" w:sz="1"/>
              <w:bottom w:val="single" w:color="A0B4C8" w:sz="1"/>
              <w:right w:val="single" w:color="A0B4C8" w:sz="1"/>
            </w:tcBorders>
            <w:shd w:fill="FFFFFF" w:val="clear"/>
            <w:tcMar>
              <w:top w:type="dxa" w:w="80"/>
              <w:left w:type="dxa" w:w="160"/>
              <w:bottom w:type="dxa" w:w="80"/>
              <w:right w:type="dxa" w:w="160"/>
            </w:tcMar>
          </w:tcPr>
          <w:p>
            <w:pPr>
              <w:spacing w:after="0" w:before="0"/>
            </w:pPr>
            <w:r>
              <w:rPr>
                <w:rFonts w:ascii="Arial" w:cs="Arial" w:eastAsia="Arial" w:hAnsi="Arial"/>
                <w:b/>
                <w:bCs/>
                <w:color w:val="141C28"/>
                <w:sz w:val="20"/>
                <w:szCs w:val="20"/>
              </w:rPr>
              <w:t xml:space="preserve">Coverage basis</w:t>
            </w:r>
          </w:p>
        </w:tc>
        <w:tc>
          <w:tcPr>
            <w:tcW w:type="dxa" w:w="3230"/>
            <w:tcBorders>
              <w:top w:val="single" w:color="A0B4C8" w:sz="1"/>
              <w:left w:val="single" w:color="A0B4C8" w:sz="1"/>
              <w:bottom w:val="single" w:color="A0B4C8" w:sz="1"/>
              <w:right w:val="single" w:color="A0B4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Covers ALL causes of loss UNLESS excluded</w:t>
            </w:r>
          </w:p>
        </w:tc>
        <w:tc>
          <w:tcPr>
            <w:tcW w:type="dxa" w:w="3230"/>
            <w:tcBorders>
              <w:top w:val="single" w:color="A0B4C8" w:sz="1"/>
              <w:left w:val="single" w:color="A0B4C8" w:sz="1"/>
              <w:bottom w:val="single" w:color="A0B4C8" w:sz="1"/>
              <w:right w:val="single" w:color="A0B4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Covers ONLY specifically listed perils</w:t>
            </w:r>
          </w:p>
        </w:tc>
      </w:tr>
      <w:tr>
        <w:tc>
          <w:tcPr>
            <w:tcW w:type="dxa" w:w="2900"/>
            <w:tcBorders>
              <w:top w:val="single" w:color="A0B4C8" w:sz="1"/>
              <w:left w:val="single" w:color="A0B4C8" w:sz="1"/>
              <w:bottom w:val="single" w:color="A0B4C8" w:sz="1"/>
              <w:right w:val="single" w:color="A0B4C8" w:sz="1"/>
            </w:tcBorders>
            <w:shd w:fill="EAF0F5" w:val="clear"/>
            <w:tcMar>
              <w:top w:type="dxa" w:w="80"/>
              <w:left w:type="dxa" w:w="160"/>
              <w:bottom w:type="dxa" w:w="80"/>
              <w:right w:type="dxa" w:w="160"/>
            </w:tcMar>
          </w:tcPr>
          <w:p>
            <w:pPr>
              <w:spacing w:after="0" w:before="0"/>
            </w:pPr>
            <w:r>
              <w:rPr>
                <w:rFonts w:ascii="Arial" w:cs="Arial" w:eastAsia="Arial" w:hAnsi="Arial"/>
                <w:b/>
                <w:bCs/>
                <w:color w:val="141C28"/>
                <w:sz w:val="20"/>
                <w:szCs w:val="20"/>
              </w:rPr>
              <w:t xml:space="preserve">Burden of proof</w:t>
            </w:r>
          </w:p>
        </w:tc>
        <w:tc>
          <w:tcPr>
            <w:tcW w:type="dxa" w:w="3230"/>
            <w:tcBorders>
              <w:top w:val="single" w:color="A0B4C8" w:sz="1"/>
              <w:left w:val="single" w:color="A0B4C8" w:sz="1"/>
              <w:bottom w:val="single" w:color="A0B4C8" w:sz="1"/>
              <w:right w:val="single" w:color="A0B4C8" w:sz="1"/>
            </w:tcBorders>
            <w:shd w:fill="EAF0F5"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Insurer must prove exclusion applies to deny</w:t>
            </w:r>
          </w:p>
        </w:tc>
        <w:tc>
          <w:tcPr>
            <w:tcW w:type="dxa" w:w="3230"/>
            <w:tcBorders>
              <w:top w:val="single" w:color="A0B4C8" w:sz="1"/>
              <w:left w:val="single" w:color="A0B4C8" w:sz="1"/>
              <w:bottom w:val="single" w:color="A0B4C8" w:sz="1"/>
              <w:right w:val="single" w:color="A0B4C8" w:sz="1"/>
            </w:tcBorders>
            <w:shd w:fill="EAF0F5"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Insured must prove peril is in the list</w:t>
            </w:r>
          </w:p>
        </w:tc>
      </w:tr>
      <w:tr>
        <w:tc>
          <w:tcPr>
            <w:tcW w:type="dxa" w:w="2900"/>
            <w:tcBorders>
              <w:top w:val="single" w:color="A0B4C8" w:sz="1"/>
              <w:left w:val="single" w:color="A0B4C8" w:sz="1"/>
              <w:bottom w:val="single" w:color="A0B4C8" w:sz="1"/>
              <w:right w:val="single" w:color="A0B4C8" w:sz="1"/>
            </w:tcBorders>
            <w:shd w:fill="FFFFFF" w:val="clear"/>
            <w:tcMar>
              <w:top w:type="dxa" w:w="80"/>
              <w:left w:type="dxa" w:w="160"/>
              <w:bottom w:type="dxa" w:w="80"/>
              <w:right w:type="dxa" w:w="160"/>
            </w:tcMar>
          </w:tcPr>
          <w:p>
            <w:pPr>
              <w:spacing w:after="0" w:before="0"/>
            </w:pPr>
            <w:r>
              <w:rPr>
                <w:rFonts w:ascii="Arial" w:cs="Arial" w:eastAsia="Arial" w:hAnsi="Arial"/>
                <w:b/>
                <w:bCs/>
                <w:color w:val="141C28"/>
                <w:sz w:val="20"/>
                <w:szCs w:val="20"/>
              </w:rPr>
              <w:t xml:space="preserve">Breadth of coverage</w:t>
            </w:r>
          </w:p>
        </w:tc>
        <w:tc>
          <w:tcPr>
            <w:tcW w:type="dxa" w:w="3230"/>
            <w:tcBorders>
              <w:top w:val="single" w:color="A0B4C8" w:sz="1"/>
              <w:left w:val="single" w:color="A0B4C8" w:sz="1"/>
              <w:bottom w:val="single" w:color="A0B4C8" w:sz="1"/>
              <w:right w:val="single" w:color="A0B4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Broader — new perils are covered unless excluded</w:t>
            </w:r>
          </w:p>
        </w:tc>
        <w:tc>
          <w:tcPr>
            <w:tcW w:type="dxa" w:w="3230"/>
            <w:tcBorders>
              <w:top w:val="single" w:color="A0B4C8" w:sz="1"/>
              <w:left w:val="single" w:color="A0B4C8" w:sz="1"/>
              <w:bottom w:val="single" w:color="A0B4C8" w:sz="1"/>
              <w:right w:val="single" w:color="A0B4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Narrower — unlisted perils are not covered</w:t>
            </w:r>
          </w:p>
        </w:tc>
      </w:tr>
      <w:tr>
        <w:tc>
          <w:tcPr>
            <w:tcW w:type="dxa" w:w="2900"/>
            <w:tcBorders>
              <w:top w:val="single" w:color="A0B4C8" w:sz="1"/>
              <w:left w:val="single" w:color="A0B4C8" w:sz="1"/>
              <w:bottom w:val="single" w:color="A0B4C8" w:sz="1"/>
              <w:right w:val="single" w:color="A0B4C8" w:sz="1"/>
            </w:tcBorders>
            <w:shd w:fill="EAF0F5" w:val="clear"/>
            <w:tcMar>
              <w:top w:type="dxa" w:w="80"/>
              <w:left w:type="dxa" w:w="160"/>
              <w:bottom w:type="dxa" w:w="80"/>
              <w:right w:type="dxa" w:w="160"/>
            </w:tcMar>
          </w:tcPr>
          <w:p>
            <w:pPr>
              <w:spacing w:after="0" w:before="0"/>
            </w:pPr>
            <w:r>
              <w:rPr>
                <w:rFonts w:ascii="Arial" w:cs="Arial" w:eastAsia="Arial" w:hAnsi="Arial"/>
                <w:b/>
                <w:bCs/>
                <w:color w:val="141C28"/>
                <w:sz w:val="20"/>
                <w:szCs w:val="20"/>
              </w:rPr>
              <w:t xml:space="preserve">Ambiguous losses</w:t>
            </w:r>
          </w:p>
        </w:tc>
        <w:tc>
          <w:tcPr>
            <w:tcW w:type="dxa" w:w="3230"/>
            <w:tcBorders>
              <w:top w:val="single" w:color="A0B4C8" w:sz="1"/>
              <w:left w:val="single" w:color="A0B4C8" w:sz="1"/>
              <w:bottom w:val="single" w:color="A0B4C8" w:sz="1"/>
              <w:right w:val="single" w:color="A0B4C8" w:sz="1"/>
            </w:tcBorders>
            <w:shd w:fill="EAF0F5"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Typically favor the insured</w:t>
            </w:r>
          </w:p>
        </w:tc>
        <w:tc>
          <w:tcPr>
            <w:tcW w:type="dxa" w:w="3230"/>
            <w:tcBorders>
              <w:top w:val="single" w:color="A0B4C8" w:sz="1"/>
              <w:left w:val="single" w:color="A0B4C8" w:sz="1"/>
              <w:bottom w:val="single" w:color="A0B4C8" w:sz="1"/>
              <w:right w:val="single" w:color="A0B4C8" w:sz="1"/>
            </w:tcBorders>
            <w:shd w:fill="EAF0F5"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Resolve against insured if peril not listed</w:t>
            </w:r>
          </w:p>
        </w:tc>
      </w:tr>
      <w:tr>
        <w:tc>
          <w:tcPr>
            <w:tcW w:type="dxa" w:w="2900"/>
            <w:tcBorders>
              <w:top w:val="single" w:color="A0B4C8" w:sz="1"/>
              <w:left w:val="single" w:color="A0B4C8" w:sz="1"/>
              <w:bottom w:val="single" w:color="A0B4C8" w:sz="1"/>
              <w:right w:val="single" w:color="A0B4C8" w:sz="1"/>
            </w:tcBorders>
            <w:shd w:fill="FFFFFF" w:val="clear"/>
            <w:tcMar>
              <w:top w:type="dxa" w:w="80"/>
              <w:left w:type="dxa" w:w="160"/>
              <w:bottom w:type="dxa" w:w="80"/>
              <w:right w:type="dxa" w:w="160"/>
            </w:tcMar>
          </w:tcPr>
          <w:p>
            <w:pPr>
              <w:spacing w:after="0" w:before="0"/>
            </w:pPr>
            <w:r>
              <w:rPr>
                <w:rFonts w:ascii="Arial" w:cs="Arial" w:eastAsia="Arial" w:hAnsi="Arial"/>
                <w:b/>
                <w:bCs/>
                <w:color w:val="141C28"/>
                <w:sz w:val="20"/>
                <w:szCs w:val="20"/>
              </w:rPr>
              <w:t xml:space="preserve">Where applied (HO-3)</w:t>
            </w:r>
          </w:p>
        </w:tc>
        <w:tc>
          <w:tcPr>
            <w:tcW w:type="dxa" w:w="3230"/>
            <w:tcBorders>
              <w:top w:val="single" w:color="A0B4C8" w:sz="1"/>
              <w:left w:val="single" w:color="A0B4C8" w:sz="1"/>
              <w:bottom w:val="single" w:color="A0B4C8" w:sz="1"/>
              <w:right w:val="single" w:color="A0B4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Dwelling (Coverage A &amp; B) — standard</w:t>
            </w:r>
          </w:p>
        </w:tc>
        <w:tc>
          <w:tcPr>
            <w:tcW w:type="dxa" w:w="3230"/>
            <w:tcBorders>
              <w:top w:val="single" w:color="A0B4C8" w:sz="1"/>
              <w:left w:val="single" w:color="A0B4C8" w:sz="1"/>
              <w:bottom w:val="single" w:color="A0B4C8" w:sz="1"/>
              <w:right w:val="single" w:color="A0B4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Personal property (Coverage C) — standard</w:t>
            </w:r>
          </w:p>
        </w:tc>
      </w:tr>
      <w:tr>
        <w:tc>
          <w:tcPr>
            <w:tcW w:type="dxa" w:w="2900"/>
            <w:tcBorders>
              <w:top w:val="single" w:color="A0B4C8" w:sz="1"/>
              <w:left w:val="single" w:color="A0B4C8" w:sz="1"/>
              <w:bottom w:val="single" w:color="A0B4C8" w:sz="1"/>
              <w:right w:val="single" w:color="A0B4C8" w:sz="1"/>
            </w:tcBorders>
            <w:shd w:fill="EAF0F5" w:val="clear"/>
            <w:tcMar>
              <w:top w:type="dxa" w:w="80"/>
              <w:left w:type="dxa" w:w="160"/>
              <w:bottom w:type="dxa" w:w="80"/>
              <w:right w:type="dxa" w:w="160"/>
            </w:tcMar>
          </w:tcPr>
          <w:p>
            <w:pPr>
              <w:spacing w:after="0" w:before="0"/>
            </w:pPr>
            <w:r>
              <w:rPr>
                <w:rFonts w:ascii="Arial" w:cs="Arial" w:eastAsia="Arial" w:hAnsi="Arial"/>
                <w:b/>
                <w:bCs/>
                <w:color w:val="141C28"/>
                <w:sz w:val="20"/>
                <w:szCs w:val="20"/>
              </w:rPr>
              <w:t xml:space="preserve">Typical application</w:t>
            </w:r>
          </w:p>
        </w:tc>
        <w:tc>
          <w:tcPr>
            <w:tcW w:type="dxa" w:w="3230"/>
            <w:tcBorders>
              <w:top w:val="single" w:color="A0B4C8" w:sz="1"/>
              <w:left w:val="single" w:color="A0B4C8" w:sz="1"/>
              <w:bottom w:val="single" w:color="A0B4C8" w:sz="1"/>
              <w:right w:val="single" w:color="A0B4C8" w:sz="1"/>
            </w:tcBorders>
            <w:shd w:fill="EAF0F5"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HO-3 special form; HO-5 for both sections</w:t>
            </w:r>
          </w:p>
        </w:tc>
        <w:tc>
          <w:tcPr>
            <w:tcW w:type="dxa" w:w="3230"/>
            <w:tcBorders>
              <w:top w:val="single" w:color="A0B4C8" w:sz="1"/>
              <w:left w:val="single" w:color="A0B4C8" w:sz="1"/>
              <w:bottom w:val="single" w:color="A0B4C8" w:sz="1"/>
              <w:right w:val="single" w:color="A0B4C8" w:sz="1"/>
            </w:tcBorders>
            <w:shd w:fill="EAF0F5"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HO-1, HO-2, and Coverage C in most HO-3 policies</w:t>
            </w:r>
          </w:p>
        </w:tc>
      </w:tr>
      <w:tr>
        <w:tc>
          <w:tcPr>
            <w:tcW w:type="dxa" w:w="2900"/>
            <w:tcBorders>
              <w:top w:val="single" w:color="A0B4C8" w:sz="1"/>
              <w:left w:val="single" w:color="A0B4C8" w:sz="1"/>
              <w:bottom w:val="single" w:color="A0B4C8" w:sz="1"/>
              <w:right w:val="single" w:color="A0B4C8" w:sz="1"/>
            </w:tcBorders>
            <w:shd w:fill="FFFFFF" w:val="clear"/>
            <w:tcMar>
              <w:top w:type="dxa" w:w="80"/>
              <w:left w:type="dxa" w:w="160"/>
              <w:bottom w:type="dxa" w:w="80"/>
              <w:right w:type="dxa" w:w="160"/>
            </w:tcMar>
          </w:tcPr>
          <w:p>
            <w:pPr>
              <w:spacing w:after="0" w:before="0"/>
            </w:pPr>
            <w:r>
              <w:rPr>
                <w:rFonts w:ascii="Arial" w:cs="Arial" w:eastAsia="Arial" w:hAnsi="Arial"/>
                <w:b/>
                <w:bCs/>
                <w:color w:val="141C28"/>
                <w:sz w:val="20"/>
                <w:szCs w:val="20"/>
              </w:rPr>
              <w:t xml:space="preserve">Cost</w:t>
            </w:r>
          </w:p>
        </w:tc>
        <w:tc>
          <w:tcPr>
            <w:tcW w:type="dxa" w:w="3230"/>
            <w:tcBorders>
              <w:top w:val="single" w:color="A0B4C8" w:sz="1"/>
              <w:left w:val="single" w:color="A0B4C8" w:sz="1"/>
              <w:bottom w:val="single" w:color="A0B4C8" w:sz="1"/>
              <w:right w:val="single" w:color="A0B4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Higher premium for broader protection</w:t>
            </w:r>
          </w:p>
        </w:tc>
        <w:tc>
          <w:tcPr>
            <w:tcW w:type="dxa" w:w="3230"/>
            <w:tcBorders>
              <w:top w:val="single" w:color="A0B4C8" w:sz="1"/>
              <w:left w:val="single" w:color="A0B4C8" w:sz="1"/>
              <w:bottom w:val="single" w:color="A0B4C8" w:sz="1"/>
              <w:right w:val="single" w:color="A0B4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Lower premium; narrower protection</w:t>
            </w:r>
          </w:p>
        </w:tc>
      </w:tr>
      <w:tr>
        <w:tc>
          <w:tcPr>
            <w:tcW w:type="dxa" w:w="2900"/>
            <w:tcBorders>
              <w:top w:val="single" w:color="A0B4C8" w:sz="1"/>
              <w:left w:val="single" w:color="A0B4C8" w:sz="1"/>
              <w:bottom w:val="single" w:color="A0B4C8" w:sz="1"/>
              <w:right w:val="single" w:color="A0B4C8" w:sz="1"/>
            </w:tcBorders>
            <w:shd w:fill="EAF0F5" w:val="clear"/>
            <w:tcMar>
              <w:top w:type="dxa" w:w="80"/>
              <w:left w:type="dxa" w:w="160"/>
              <w:bottom w:type="dxa" w:w="80"/>
              <w:right w:type="dxa" w:w="160"/>
            </w:tcMar>
          </w:tcPr>
          <w:p>
            <w:pPr>
              <w:spacing w:after="0" w:before="0"/>
            </w:pPr>
            <w:r>
              <w:rPr>
                <w:rFonts w:ascii="Arial" w:cs="Arial" w:eastAsia="Arial" w:hAnsi="Arial"/>
                <w:b/>
                <w:bCs/>
                <w:color w:val="141C28"/>
                <w:sz w:val="20"/>
                <w:szCs w:val="20"/>
              </w:rPr>
              <w:t xml:space="preserve">Named perils example</w:t>
            </w:r>
          </w:p>
        </w:tc>
        <w:tc>
          <w:tcPr>
            <w:tcW w:type="dxa" w:w="3230"/>
            <w:tcBorders>
              <w:top w:val="single" w:color="A0B4C8" w:sz="1"/>
              <w:left w:val="single" w:color="A0B4C8" w:sz="1"/>
              <w:bottom w:val="single" w:color="A0B4C8" w:sz="1"/>
              <w:right w:val="single" w:color="A0B4C8" w:sz="1"/>
            </w:tcBorders>
            <w:shd w:fill="EAF0F5"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Not applicable</w:t>
            </w:r>
          </w:p>
        </w:tc>
        <w:tc>
          <w:tcPr>
            <w:tcW w:type="dxa" w:w="3230"/>
            <w:tcBorders>
              <w:top w:val="single" w:color="A0B4C8" w:sz="1"/>
              <w:left w:val="single" w:color="A0B4C8" w:sz="1"/>
              <w:bottom w:val="single" w:color="A0B4C8" w:sz="1"/>
              <w:right w:val="single" w:color="A0B4C8" w:sz="1"/>
            </w:tcBorders>
            <w:shd w:fill="EAF0F5"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Fire, lightning, windstorm, hail, theft (etc.)</w:t>
            </w:r>
          </w:p>
        </w:tc>
      </w:tr>
    </w:tbl>
    <w:p>
      <w:pPr>
        <w:spacing w:after="0" w:before="120"/>
      </w:pPr>
      <w:r>
        <w:rPr>
          <w:rFonts w:ascii="Arial" w:cs="Arial" w:eastAsia="Arial" w:hAnsi="Arial"/>
        </w:rPr>
        <w:t xml:space="preserve"/>
      </w:r>
    </w:p>
    <w:p>
      <w:pPr>
        <w:pBdr>
          <w:bottom w:val="single" w:color="AABCCC" w:sz="4" w:space="4"/>
        </w:pBdr>
        <w:spacing w:after="80" w:before="220"/>
      </w:pPr>
      <w:r>
        <w:rPr>
          <w:rFonts w:ascii="Arial" w:cs="Arial" w:eastAsia="Arial" w:hAnsi="Arial"/>
          <w:b/>
          <w:bCs/>
          <w:color w:val="1A2E48"/>
          <w:sz w:val="24"/>
          <w:szCs w:val="24"/>
        </w:rPr>
        <w:t xml:space="preserve">The 16 Named Perils in Standard HO Policies</w:t>
      </w:r>
    </w:p>
    <w:p>
      <w:pPr>
        <w:spacing w:after="110" w:before="80"/>
      </w:pPr>
      <w:r>
        <w:rPr>
          <w:rFonts w:ascii="Arial" w:cs="Arial" w:eastAsia="Arial" w:hAnsi="Arial"/>
          <w:color w:val="141C28"/>
          <w:sz w:val="22"/>
          <w:szCs w:val="22"/>
        </w:rPr>
        <w:t xml:space="preserve">Standard homeowners policies that use named perils coverage (for personal property in HO-3 and for all coverages in HO-1 and HO-2) cover the following specific perils:</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2A4468"/>
          <w:sz w:val="22"/>
          <w:szCs w:val="22"/>
        </w:rPr>
        <w:t xml:space="preserve">Fire and lightning — </w:t>
      </w:r>
      <w:r>
        <w:rPr>
          <w:rFonts w:ascii="Arial" w:cs="Arial" w:eastAsia="Arial" w:hAnsi="Arial"/>
          <w:color w:val="2C3848"/>
          <w:sz w:val="22"/>
          <w:szCs w:val="22"/>
        </w:rPr>
        <w:t xml:space="preserve">the most fundamental peril; covers damage from fire of any origin and lightning strikes</w:t>
      </w:r>
    </w:p>
    <w:p>
      <w:pPr>
        <w:pStyle w:val="ListParagraph"/>
        <w:numPr>
          <w:ilvl w:val="0"/>
          <w:numId w:val="2"/>
        </w:numPr>
        <w:spacing w:after="60" w:before="60"/>
      </w:pPr>
      <w:r>
        <w:rPr>
          <w:rFonts w:ascii="Arial" w:cs="Arial" w:eastAsia="Arial" w:hAnsi="Arial"/>
          <w:b/>
          <w:bCs/>
          <w:color w:val="2A4468"/>
          <w:sz w:val="22"/>
          <w:szCs w:val="22"/>
        </w:rPr>
        <w:t xml:space="preserve">Windstorm and hail — </w:t>
      </w:r>
      <w:r>
        <w:rPr>
          <w:rFonts w:ascii="Arial" w:cs="Arial" w:eastAsia="Arial" w:hAnsi="Arial"/>
          <w:color w:val="2C3848"/>
          <w:sz w:val="22"/>
          <w:szCs w:val="22"/>
        </w:rPr>
        <w:t xml:space="preserve">covers wind damage, hurricane damage (in states where hurricane coverage is included), and hail damage to structure and contents</w:t>
      </w:r>
    </w:p>
    <w:p>
      <w:pPr>
        <w:pStyle w:val="ListParagraph"/>
        <w:numPr>
          <w:ilvl w:val="0"/>
          <w:numId w:val="2"/>
        </w:numPr>
        <w:spacing w:after="60" w:before="60"/>
      </w:pPr>
      <w:r>
        <w:rPr>
          <w:rFonts w:ascii="Arial" w:cs="Arial" w:eastAsia="Arial" w:hAnsi="Arial"/>
          <w:b/>
          <w:bCs/>
          <w:color w:val="2A4468"/>
          <w:sz w:val="22"/>
          <w:szCs w:val="22"/>
        </w:rPr>
        <w:t xml:space="preserve">Explosion — </w:t>
      </w:r>
      <w:r>
        <w:rPr>
          <w:rFonts w:ascii="Arial" w:cs="Arial" w:eastAsia="Arial" w:hAnsi="Arial"/>
          <w:color w:val="2C3848"/>
          <w:sz w:val="22"/>
          <w:szCs w:val="22"/>
        </w:rPr>
        <w:t xml:space="preserve">covers damage from explosions, including gas line explosions and pressure vessel explosions</w:t>
      </w:r>
    </w:p>
    <w:p>
      <w:pPr>
        <w:pStyle w:val="ListParagraph"/>
        <w:numPr>
          <w:ilvl w:val="0"/>
          <w:numId w:val="2"/>
        </w:numPr>
        <w:spacing w:after="60" w:before="60"/>
      </w:pPr>
      <w:r>
        <w:rPr>
          <w:rFonts w:ascii="Arial" w:cs="Arial" w:eastAsia="Arial" w:hAnsi="Arial"/>
          <w:b/>
          <w:bCs/>
          <w:color w:val="2A4468"/>
          <w:sz w:val="22"/>
          <w:szCs w:val="22"/>
        </w:rPr>
        <w:t xml:space="preserve">Riot and civil commotion — </w:t>
      </w:r>
      <w:r>
        <w:rPr>
          <w:rFonts w:ascii="Arial" w:cs="Arial" w:eastAsia="Arial" w:hAnsi="Arial"/>
          <w:color w:val="2C3848"/>
          <w:sz w:val="22"/>
          <w:szCs w:val="22"/>
        </w:rPr>
        <w:t xml:space="preserve">covers damage from civil disturbances, riots, and looting</w:t>
      </w:r>
    </w:p>
    <w:p>
      <w:pPr>
        <w:pStyle w:val="ListParagraph"/>
        <w:numPr>
          <w:ilvl w:val="0"/>
          <w:numId w:val="2"/>
        </w:numPr>
        <w:spacing w:after="60" w:before="60"/>
      </w:pPr>
      <w:r>
        <w:rPr>
          <w:rFonts w:ascii="Arial" w:cs="Arial" w:eastAsia="Arial" w:hAnsi="Arial"/>
          <w:b/>
          <w:bCs/>
          <w:color w:val="2A4468"/>
          <w:sz w:val="22"/>
          <w:szCs w:val="22"/>
        </w:rPr>
        <w:t xml:space="preserve">Aircraft and vehicle damage — </w:t>
      </w:r>
      <w:r>
        <w:rPr>
          <w:rFonts w:ascii="Arial" w:cs="Arial" w:eastAsia="Arial" w:hAnsi="Arial"/>
          <w:color w:val="2C3848"/>
          <w:sz w:val="22"/>
          <w:szCs w:val="22"/>
        </w:rPr>
        <w:t xml:space="preserve">covers damage from aircraft crashing into the property and vehicles striking the building or contents</w:t>
      </w:r>
    </w:p>
    <w:p>
      <w:pPr>
        <w:pStyle w:val="ListParagraph"/>
        <w:numPr>
          <w:ilvl w:val="0"/>
          <w:numId w:val="2"/>
        </w:numPr>
        <w:spacing w:after="60" w:before="60"/>
      </w:pPr>
      <w:r>
        <w:rPr>
          <w:rFonts w:ascii="Arial" w:cs="Arial" w:eastAsia="Arial" w:hAnsi="Arial"/>
          <w:b/>
          <w:bCs/>
          <w:color w:val="2A4468"/>
          <w:sz w:val="22"/>
          <w:szCs w:val="22"/>
        </w:rPr>
        <w:t xml:space="preserve">Smoke damage — </w:t>
      </w:r>
      <w:r>
        <w:rPr>
          <w:rFonts w:ascii="Arial" w:cs="Arial" w:eastAsia="Arial" w:hAnsi="Arial"/>
          <w:color w:val="2C3848"/>
          <w:sz w:val="22"/>
          <w:szCs w:val="22"/>
        </w:rPr>
        <w:t xml:space="preserve">covers sudden and accidental smoke damage from a faulty heating system or fireplace; does not cover gradual smoke damage from a neighbor’s chimney</w:t>
      </w:r>
    </w:p>
    <w:p>
      <w:pPr>
        <w:pStyle w:val="ListParagraph"/>
        <w:numPr>
          <w:ilvl w:val="0"/>
          <w:numId w:val="2"/>
        </w:numPr>
        <w:spacing w:after="60" w:before="60"/>
      </w:pPr>
      <w:r>
        <w:rPr>
          <w:rFonts w:ascii="Arial" w:cs="Arial" w:eastAsia="Arial" w:hAnsi="Arial"/>
          <w:b/>
          <w:bCs/>
          <w:color w:val="2A4468"/>
          <w:sz w:val="22"/>
          <w:szCs w:val="22"/>
        </w:rPr>
        <w:t xml:space="preserve">Vandalism and malicious mischief — </w:t>
      </w:r>
      <w:r>
        <w:rPr>
          <w:rFonts w:ascii="Arial" w:cs="Arial" w:eastAsia="Arial" w:hAnsi="Arial"/>
          <w:color w:val="2C3848"/>
          <w:sz w:val="22"/>
          <w:szCs w:val="22"/>
        </w:rPr>
        <w:t xml:space="preserve">covers intentional damage caused by vandals; often excluded in vacant properties</w:t>
      </w:r>
    </w:p>
    <w:p>
      <w:pPr>
        <w:pStyle w:val="ListParagraph"/>
        <w:numPr>
          <w:ilvl w:val="0"/>
          <w:numId w:val="2"/>
        </w:numPr>
        <w:spacing w:after="60" w:before="60"/>
      </w:pPr>
      <w:r>
        <w:rPr>
          <w:rFonts w:ascii="Arial" w:cs="Arial" w:eastAsia="Arial" w:hAnsi="Arial"/>
          <w:b/>
          <w:bCs/>
          <w:color w:val="2A4468"/>
          <w:sz w:val="22"/>
          <w:szCs w:val="22"/>
        </w:rPr>
        <w:t xml:space="preserve">Theft — </w:t>
      </w:r>
      <w:r>
        <w:rPr>
          <w:rFonts w:ascii="Arial" w:cs="Arial" w:eastAsia="Arial" w:hAnsi="Arial"/>
          <w:color w:val="2C3848"/>
          <w:sz w:val="22"/>
          <w:szCs w:val="22"/>
        </w:rPr>
        <w:t xml:space="preserve">covers theft and attempted theft; subject to sublimits for certain property categories</w:t>
      </w:r>
    </w:p>
    <w:p>
      <w:pPr>
        <w:pStyle w:val="ListParagraph"/>
        <w:numPr>
          <w:ilvl w:val="0"/>
          <w:numId w:val="2"/>
        </w:numPr>
        <w:spacing w:after="60" w:before="60"/>
      </w:pPr>
      <w:r>
        <w:rPr>
          <w:rFonts w:ascii="Arial" w:cs="Arial" w:eastAsia="Arial" w:hAnsi="Arial"/>
          <w:b/>
          <w:bCs/>
          <w:color w:val="2A4468"/>
          <w:sz w:val="22"/>
          <w:szCs w:val="22"/>
        </w:rPr>
        <w:t xml:space="preserve">Falling objects — </w:t>
      </w:r>
      <w:r>
        <w:rPr>
          <w:rFonts w:ascii="Arial" w:cs="Arial" w:eastAsia="Arial" w:hAnsi="Arial"/>
          <w:color w:val="2C3848"/>
          <w:sz w:val="22"/>
          <w:szCs w:val="22"/>
        </w:rPr>
        <w:t xml:space="preserve">covers damage from objects falling from the sky — branches, meteorites, satellite debris</w:t>
      </w:r>
    </w:p>
    <w:p>
      <w:pPr>
        <w:pStyle w:val="ListParagraph"/>
        <w:numPr>
          <w:ilvl w:val="0"/>
          <w:numId w:val="2"/>
        </w:numPr>
        <w:spacing w:after="60" w:before="60"/>
      </w:pPr>
      <w:r>
        <w:rPr>
          <w:rFonts w:ascii="Arial" w:cs="Arial" w:eastAsia="Arial" w:hAnsi="Arial"/>
          <w:b/>
          <w:bCs/>
          <w:color w:val="2A4468"/>
          <w:sz w:val="22"/>
          <w:szCs w:val="22"/>
        </w:rPr>
        <w:t xml:space="preserve">Weight of ice, snow, or sleet — </w:t>
      </w:r>
      <w:r>
        <w:rPr>
          <w:rFonts w:ascii="Arial" w:cs="Arial" w:eastAsia="Arial" w:hAnsi="Arial"/>
          <w:color w:val="2C3848"/>
          <w:sz w:val="22"/>
          <w:szCs w:val="22"/>
        </w:rPr>
        <w:t xml:space="preserve">covers structural damage from the accumulated weight of ice, snow, or sleet; important in northern climates</w:t>
      </w:r>
    </w:p>
    <w:p>
      <w:pPr>
        <w:pStyle w:val="ListParagraph"/>
        <w:numPr>
          <w:ilvl w:val="0"/>
          <w:numId w:val="2"/>
        </w:numPr>
        <w:spacing w:after="60" w:before="60"/>
      </w:pPr>
      <w:r>
        <w:rPr>
          <w:rFonts w:ascii="Arial" w:cs="Arial" w:eastAsia="Arial" w:hAnsi="Arial"/>
          <w:b/>
          <w:bCs/>
          <w:color w:val="2A4468"/>
          <w:sz w:val="22"/>
          <w:szCs w:val="22"/>
        </w:rPr>
        <w:t xml:space="preserve">Accidental discharge of water or steam — </w:t>
      </w:r>
      <w:r>
        <w:rPr>
          <w:rFonts w:ascii="Arial" w:cs="Arial" w:eastAsia="Arial" w:hAnsi="Arial"/>
          <w:color w:val="2C3848"/>
          <w:sz w:val="22"/>
          <w:szCs w:val="22"/>
        </w:rPr>
        <w:t xml:space="preserve">covers water damage from a suddenly broken pipe, appliance malfunction, or plumbing failure</w:t>
      </w:r>
    </w:p>
    <w:p>
      <w:pPr>
        <w:pStyle w:val="ListParagraph"/>
        <w:numPr>
          <w:ilvl w:val="0"/>
          <w:numId w:val="2"/>
        </w:numPr>
        <w:spacing w:after="60" w:before="60"/>
      </w:pPr>
      <w:r>
        <w:rPr>
          <w:rFonts w:ascii="Arial" w:cs="Arial" w:eastAsia="Arial" w:hAnsi="Arial"/>
          <w:b/>
          <w:bCs/>
          <w:color w:val="2A4468"/>
          <w:sz w:val="22"/>
          <w:szCs w:val="22"/>
        </w:rPr>
        <w:t xml:space="preserve">Sudden and accidental tearing or bulging — </w:t>
      </w:r>
      <w:r>
        <w:rPr>
          <w:rFonts w:ascii="Arial" w:cs="Arial" w:eastAsia="Arial" w:hAnsi="Arial"/>
          <w:color w:val="2C3848"/>
          <w:sz w:val="22"/>
          <w:szCs w:val="22"/>
        </w:rPr>
        <w:t xml:space="preserve">covers damage from sudden failures of HVAC, water heaters, or other systems</w:t>
      </w:r>
    </w:p>
    <w:p>
      <w:pPr>
        <w:pStyle w:val="ListParagraph"/>
        <w:numPr>
          <w:ilvl w:val="0"/>
          <w:numId w:val="2"/>
        </w:numPr>
        <w:spacing w:after="60" w:before="60"/>
      </w:pPr>
      <w:r>
        <w:rPr>
          <w:rFonts w:ascii="Arial" w:cs="Arial" w:eastAsia="Arial" w:hAnsi="Arial"/>
          <w:b/>
          <w:bCs/>
          <w:color w:val="2A4468"/>
          <w:sz w:val="22"/>
          <w:szCs w:val="22"/>
        </w:rPr>
        <w:t xml:space="preserve">Freezing of plumbing — </w:t>
      </w:r>
      <w:r>
        <w:rPr>
          <w:rFonts w:ascii="Arial" w:cs="Arial" w:eastAsia="Arial" w:hAnsi="Arial"/>
          <w:color w:val="2C3848"/>
          <w:sz w:val="22"/>
          <w:szCs w:val="22"/>
        </w:rPr>
        <w:t xml:space="preserve">covers pipe freezing damage with conditions — typically requires reasonable care to maintain heat</w:t>
      </w:r>
    </w:p>
    <w:p>
      <w:pPr>
        <w:pStyle w:val="ListParagraph"/>
        <w:numPr>
          <w:ilvl w:val="0"/>
          <w:numId w:val="2"/>
        </w:numPr>
        <w:spacing w:after="60" w:before="60"/>
      </w:pPr>
      <w:r>
        <w:rPr>
          <w:rFonts w:ascii="Arial" w:cs="Arial" w:eastAsia="Arial" w:hAnsi="Arial"/>
          <w:b/>
          <w:bCs/>
          <w:color w:val="2A4468"/>
          <w:sz w:val="22"/>
          <w:szCs w:val="22"/>
        </w:rPr>
        <w:t xml:space="preserve">Electrical damage — </w:t>
      </w:r>
      <w:r>
        <w:rPr>
          <w:rFonts w:ascii="Arial" w:cs="Arial" w:eastAsia="Arial" w:hAnsi="Arial"/>
          <w:color w:val="2C3848"/>
          <w:sz w:val="22"/>
          <w:szCs w:val="22"/>
        </w:rPr>
        <w:t xml:space="preserve">covers damage from artificially generated electrical currents to appliances and electronics</w:t>
      </w:r>
    </w:p>
    <w:p>
      <w:pPr>
        <w:pStyle w:val="ListParagraph"/>
        <w:numPr>
          <w:ilvl w:val="0"/>
          <w:numId w:val="2"/>
        </w:numPr>
        <w:spacing w:after="60" w:before="60"/>
      </w:pPr>
      <w:r>
        <w:rPr>
          <w:rFonts w:ascii="Arial" w:cs="Arial" w:eastAsia="Arial" w:hAnsi="Arial"/>
          <w:b/>
          <w:bCs/>
          <w:color w:val="2A4468"/>
          <w:sz w:val="22"/>
          <w:szCs w:val="22"/>
        </w:rPr>
        <w:t xml:space="preserve">Volcanic eruption — </w:t>
      </w:r>
      <w:r>
        <w:rPr>
          <w:rFonts w:ascii="Arial" w:cs="Arial" w:eastAsia="Arial" w:hAnsi="Arial"/>
          <w:color w:val="2C3848"/>
          <w:sz w:val="22"/>
          <w:szCs w:val="22"/>
        </w:rPr>
        <w:t xml:space="preserve">covers damage from volcanic eruptions</w:t>
      </w:r>
    </w:p>
    <w:p>
      <w:pPr>
        <w:pStyle w:val="ListParagraph"/>
        <w:numPr>
          <w:ilvl w:val="0"/>
          <w:numId w:val="2"/>
        </w:numPr>
        <w:spacing w:after="60" w:before="60"/>
      </w:pPr>
      <w:r>
        <w:rPr>
          <w:rFonts w:ascii="Arial" w:cs="Arial" w:eastAsia="Arial" w:hAnsi="Arial"/>
          <w:b/>
          <w:bCs/>
          <w:color w:val="2A4468"/>
          <w:sz w:val="22"/>
          <w:szCs w:val="22"/>
        </w:rPr>
        <w:t xml:space="preserve">Breakage of glass — </w:t>
      </w:r>
      <w:r>
        <w:rPr>
          <w:rFonts w:ascii="Arial" w:cs="Arial" w:eastAsia="Arial" w:hAnsi="Arial"/>
          <w:color w:val="2C3848"/>
          <w:sz w:val="22"/>
          <w:szCs w:val="22"/>
        </w:rPr>
        <w:t xml:space="preserve">covers accidental breakage of glass that is part of the building structure</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7A5820" w:sz="18"/>
              <w:bottom w:val="none" w:color="FFFFFF" w:sz="0"/>
              <w:right w:val="none" w:color="FFFFFF" w:sz="0"/>
            </w:tcBorders>
            <w:shd w:fill="FAF6EC" w:val="clear"/>
            <w:tcMar>
              <w:top w:type="dxa" w:w="110"/>
              <w:left w:type="dxa" w:w="200"/>
              <w:bottom w:type="dxa" w:w="110"/>
              <w:right w:type="dxa" w:w="160"/>
            </w:tcMar>
          </w:tcPr>
          <w:p>
            <w:pPr>
              <w:spacing w:after="60" w:before="0"/>
            </w:pPr>
            <w:r>
              <w:rPr>
                <w:rFonts w:ascii="Arial" w:cs="Arial" w:eastAsia="Arial" w:hAnsi="Arial"/>
                <w:b/>
                <w:bCs/>
                <w:caps/>
                <w:color w:val="5A4010"/>
                <w:sz w:val="19"/>
                <w:szCs w:val="19"/>
              </w:rPr>
              <w:t xml:space="preserve">What Named Perils Does NOT Cover</w:t>
            </w:r>
          </w:p>
          <w:p>
            <w:pPr>
              <w:spacing w:after="0" w:before="0"/>
            </w:pPr>
            <w:r>
              <w:rPr>
                <w:rFonts w:ascii="Arial" w:cs="Arial" w:eastAsia="Arial" w:hAnsi="Arial"/>
                <w:color w:val="4A3000"/>
                <w:sz w:val="20"/>
                <w:szCs w:val="20"/>
              </w:rPr>
              <w:t xml:space="preserve">Named perils coverage does not cover flood, earthquake, power failure, neglect, intentional loss, war, or nuclear hazard — regardless of whether those perils appear in the list. And crucially, any cause of loss NOT in the list is automatically excluded, even if it seems like it should be covered. A pipe that gradually rusts and leaks is not covered because gradual deterioration is not in the named perils list.</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A2E48" w:val="clear"/>
            <w:tcMar>
              <w:top w:type="dxa" w:w="160"/>
              <w:left w:type="dxa" w:w="240"/>
              <w:bottom w:type="dxa" w:w="160"/>
              <w:right w:type="dxa" w:w="240"/>
            </w:tcMar>
          </w:tcPr>
          <w:p>
            <w:pPr>
              <w:spacing w:after="0" w:before="0"/>
            </w:pPr>
            <w:r>
              <w:rPr>
                <w:rFonts w:ascii="Arial" w:cs="Arial" w:eastAsia="Arial" w:hAnsi="Arial"/>
                <w:b/>
                <w:bCs/>
                <w:color w:val="AABCCC"/>
                <w:sz w:val="28"/>
                <w:szCs w:val="28"/>
              </w:rPr>
              <w:t xml:space="preserve">7.  </w:t>
            </w:r>
            <w:r>
              <w:rPr>
                <w:rFonts w:ascii="Arial" w:cs="Arial" w:eastAsia="Arial" w:hAnsi="Arial"/>
                <w:b/>
                <w:bCs/>
                <w:color w:val="FFFFFF"/>
                <w:sz w:val="28"/>
                <w:szCs w:val="28"/>
              </w:rPr>
              <w:t xml:space="preserve">HO-1 Through HO-8 Policy Forms Explained</w:t>
            </w:r>
          </w:p>
        </w:tc>
      </w:tr>
    </w:tbl>
    <w:p>
      <w:pPr>
        <w:spacing w:after="0" w:before="100"/>
      </w:pPr>
      <w:r>
        <w:rPr>
          <w:rFonts w:ascii="Arial" w:cs="Arial" w:eastAsia="Arial" w:hAnsi="Arial"/>
        </w:rPr>
        <w:t xml:space="preserve"/>
      </w:r>
    </w:p>
    <w:p>
      <w:pPr>
        <w:spacing w:after="110" w:before="80"/>
      </w:pPr>
      <w:r>
        <w:rPr>
          <w:rFonts w:ascii="Arial" w:cs="Arial" w:eastAsia="Arial" w:hAnsi="Arial"/>
          <w:color w:val="141C28"/>
          <w:sz w:val="22"/>
          <w:szCs w:val="22"/>
        </w:rPr>
        <w:t xml:space="preserve">The Insurance Services Office (ISO) has developed a set of standardized homeowners policy forms — designated HO-1 through HO-8 — that provide different levels of coverage for different property types and homeowner situations. While individual insurers may modify these standard forms, most homeowners policies in the U.S. are based on one of these ISO forms. Understanding which form your policy uses determines the fundamental coverage framework.</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440"/>
        <w:gridCol w:w="1960"/>
        <w:gridCol w:w="2480"/>
        <w:gridCol w:w="3480"/>
      </w:tblGrid>
      <w:tr>
        <w:tc>
          <w:tcPr>
            <w:tcW w:type="dxa" w:w="1440"/>
            <w:tcBorders>
              <w:top w:val="none" w:color="FFFFFF" w:sz="0"/>
              <w:left w:val="none" w:color="FFFFFF" w:sz="0"/>
              <w:bottom w:val="none" w:color="FFFFFF" w:sz="0"/>
              <w:right w:val="none" w:color="FFFFFF" w:sz="0"/>
            </w:tcBorders>
            <w:shd w:fill="1A2E48" w:val="clear"/>
            <w:tcMar>
              <w:top w:type="dxa" w:w="100"/>
              <w:left w:type="dxa" w:w="140"/>
              <w:bottom w:type="dxa" w:w="100"/>
              <w:right w:type="dxa" w:w="140"/>
            </w:tcMar>
          </w:tcPr>
          <w:p>
            <w:pPr>
              <w:spacing w:after="0" w:before="0"/>
            </w:pPr>
            <w:r>
              <w:rPr>
                <w:rFonts w:ascii="Arial" w:cs="Arial" w:eastAsia="Arial" w:hAnsi="Arial"/>
                <w:b/>
                <w:bCs/>
                <w:color w:val="FFFFFF"/>
                <w:sz w:val="19"/>
                <w:szCs w:val="19"/>
              </w:rPr>
              <w:t xml:space="preserve">Form</w:t>
            </w:r>
          </w:p>
        </w:tc>
        <w:tc>
          <w:tcPr>
            <w:tcW w:type="dxa" w:w="1960"/>
            <w:tcBorders>
              <w:top w:val="none" w:color="FFFFFF" w:sz="0"/>
              <w:left w:val="none" w:color="FFFFFF" w:sz="0"/>
              <w:bottom w:val="none" w:color="FFFFFF" w:sz="0"/>
              <w:right w:val="none" w:color="FFFFFF" w:sz="0"/>
            </w:tcBorders>
            <w:shd w:fill="1A2E48" w:val="clear"/>
            <w:tcMar>
              <w:top w:type="dxa" w:w="100"/>
              <w:left w:type="dxa" w:w="140"/>
              <w:bottom w:type="dxa" w:w="100"/>
              <w:right w:type="dxa" w:w="140"/>
            </w:tcMar>
          </w:tcPr>
          <w:p>
            <w:pPr>
              <w:spacing w:after="0" w:before="0"/>
            </w:pPr>
            <w:r>
              <w:rPr>
                <w:rFonts w:ascii="Arial" w:cs="Arial" w:eastAsia="Arial" w:hAnsi="Arial"/>
                <w:b/>
                <w:bCs/>
                <w:color w:val="FFFFFF"/>
                <w:sz w:val="19"/>
                <w:szCs w:val="19"/>
              </w:rPr>
              <w:t xml:space="preserve">Policy Name</w:t>
            </w:r>
          </w:p>
        </w:tc>
        <w:tc>
          <w:tcPr>
            <w:tcW w:type="dxa" w:w="2480"/>
            <w:tcBorders>
              <w:top w:val="none" w:color="FFFFFF" w:sz="0"/>
              <w:left w:val="none" w:color="FFFFFF" w:sz="0"/>
              <w:bottom w:val="none" w:color="FFFFFF" w:sz="0"/>
              <w:right w:val="none" w:color="FFFFFF" w:sz="0"/>
            </w:tcBorders>
            <w:shd w:fill="1A2E48" w:val="clear"/>
            <w:tcMar>
              <w:top w:type="dxa" w:w="100"/>
              <w:left w:type="dxa" w:w="140"/>
              <w:bottom w:type="dxa" w:w="100"/>
              <w:right w:type="dxa" w:w="140"/>
            </w:tcMar>
          </w:tcPr>
          <w:p>
            <w:pPr>
              <w:spacing w:after="0" w:before="0"/>
            </w:pPr>
            <w:r>
              <w:rPr>
                <w:rFonts w:ascii="Arial" w:cs="Arial" w:eastAsia="Arial" w:hAnsi="Arial"/>
                <w:b/>
                <w:bCs/>
                <w:color w:val="FFFFFF"/>
                <w:sz w:val="19"/>
                <w:szCs w:val="19"/>
              </w:rPr>
              <w:t xml:space="preserve">Coverage Basis</w:t>
            </w:r>
          </w:p>
        </w:tc>
        <w:tc>
          <w:tcPr>
            <w:tcW w:type="dxa" w:w="3480"/>
            <w:tcBorders>
              <w:top w:val="none" w:color="FFFFFF" w:sz="0"/>
              <w:left w:val="none" w:color="FFFFFF" w:sz="0"/>
              <w:bottom w:val="none" w:color="FFFFFF" w:sz="0"/>
              <w:right w:val="none" w:color="FFFFFF" w:sz="0"/>
            </w:tcBorders>
            <w:shd w:fill="1A2E48" w:val="clear"/>
            <w:tcMar>
              <w:top w:type="dxa" w:w="100"/>
              <w:left w:type="dxa" w:w="140"/>
              <w:bottom w:type="dxa" w:w="100"/>
              <w:right w:type="dxa" w:w="140"/>
            </w:tcMar>
          </w:tcPr>
          <w:p>
            <w:pPr>
              <w:spacing w:after="0" w:before="0"/>
            </w:pPr>
            <w:r>
              <w:rPr>
                <w:rFonts w:ascii="Arial" w:cs="Arial" w:eastAsia="Arial" w:hAnsi="Arial"/>
                <w:b/>
                <w:bCs/>
                <w:color w:val="FFFFFF"/>
                <w:sz w:val="19"/>
                <w:szCs w:val="19"/>
              </w:rPr>
              <w:t xml:space="preserve">Best For / Description</w:t>
            </w:r>
          </w:p>
        </w:tc>
      </w:tr>
      <w:tr>
        <w:tc>
          <w:tcPr>
            <w:tcW w:type="dxa" w:w="1440"/>
            <w:tcBorders>
              <w:top w:val="single" w:color="A0B4C8" w:sz="1"/>
              <w:left w:val="single" w:color="A0B4C8" w:sz="1"/>
              <w:bottom w:val="single" w:color="A0B4C8" w:sz="1"/>
              <w:right w:val="single" w:color="A0B4C8" w:sz="1"/>
            </w:tcBorders>
            <w:shd w:fill="FFFFFF" w:val="clear"/>
            <w:tcMar>
              <w:top w:type="dxa" w:w="80"/>
              <w:left w:type="dxa" w:w="140"/>
              <w:bottom w:type="dxa" w:w="80"/>
              <w:right w:type="dxa" w:w="140"/>
            </w:tcMar>
          </w:tcPr>
          <w:p>
            <w:pPr>
              <w:spacing w:after="0" w:before="0"/>
            </w:pPr>
            <w:r>
              <w:rPr>
                <w:rFonts w:ascii="Arial" w:cs="Arial" w:eastAsia="Arial" w:hAnsi="Arial"/>
                <w:b/>
                <w:bCs/>
                <w:color w:val="1A2E48"/>
                <w:sz w:val="19"/>
                <w:szCs w:val="19"/>
              </w:rPr>
              <w:t xml:space="preserve">HO-1</w:t>
            </w:r>
          </w:p>
        </w:tc>
        <w:tc>
          <w:tcPr>
            <w:tcW w:type="dxa" w:w="1960"/>
            <w:tcBorders>
              <w:top w:val="single" w:color="A0B4C8" w:sz="1"/>
              <w:left w:val="single" w:color="A0B4C8" w:sz="1"/>
              <w:bottom w:val="single" w:color="A0B4C8" w:sz="1"/>
              <w:right w:val="single" w:color="A0B4C8"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Basic Form</w:t>
            </w:r>
          </w:p>
        </w:tc>
        <w:tc>
          <w:tcPr>
            <w:tcW w:type="dxa" w:w="2480"/>
            <w:tcBorders>
              <w:top w:val="single" w:color="A0B4C8" w:sz="1"/>
              <w:left w:val="single" w:color="A0B4C8" w:sz="1"/>
              <w:bottom w:val="single" w:color="A0B4C8" w:sz="1"/>
              <w:right w:val="single" w:color="A0B4C8"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Named perils (10 perils)</w:t>
            </w:r>
          </w:p>
        </w:tc>
        <w:tc>
          <w:tcPr>
            <w:tcW w:type="dxa" w:w="3480"/>
            <w:tcBorders>
              <w:top w:val="single" w:color="A0B4C8" w:sz="1"/>
              <w:left w:val="single" w:color="A0B4C8" w:sz="1"/>
              <w:bottom w:val="single" w:color="A0B4C8" w:sz="1"/>
              <w:right w:val="single" w:color="A0B4C8"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Rarely used today; bare minimum coverage for owner-occupied homes; replaced in most markets by HO-2</w:t>
            </w:r>
          </w:p>
        </w:tc>
      </w:tr>
      <w:tr>
        <w:tc>
          <w:tcPr>
            <w:tcW w:type="dxa" w:w="1440"/>
            <w:tcBorders>
              <w:top w:val="single" w:color="A0B4C8" w:sz="1"/>
              <w:left w:val="single" w:color="A0B4C8" w:sz="1"/>
              <w:bottom w:val="single" w:color="A0B4C8" w:sz="1"/>
              <w:right w:val="single" w:color="A0B4C8" w:sz="1"/>
            </w:tcBorders>
            <w:shd w:fill="EAF0F5" w:val="clear"/>
            <w:tcMar>
              <w:top w:type="dxa" w:w="80"/>
              <w:left w:type="dxa" w:w="140"/>
              <w:bottom w:type="dxa" w:w="80"/>
              <w:right w:type="dxa" w:w="140"/>
            </w:tcMar>
          </w:tcPr>
          <w:p>
            <w:pPr>
              <w:spacing w:after="0" w:before="0"/>
            </w:pPr>
            <w:r>
              <w:rPr>
                <w:rFonts w:ascii="Arial" w:cs="Arial" w:eastAsia="Arial" w:hAnsi="Arial"/>
                <w:b/>
                <w:bCs/>
                <w:color w:val="1A2E48"/>
                <w:sz w:val="19"/>
                <w:szCs w:val="19"/>
              </w:rPr>
              <w:t xml:space="preserve">HO-2</w:t>
            </w:r>
          </w:p>
        </w:tc>
        <w:tc>
          <w:tcPr>
            <w:tcW w:type="dxa" w:w="1960"/>
            <w:tcBorders>
              <w:top w:val="single" w:color="A0B4C8" w:sz="1"/>
              <w:left w:val="single" w:color="A0B4C8" w:sz="1"/>
              <w:bottom w:val="single" w:color="A0B4C8" w:sz="1"/>
              <w:right w:val="single" w:color="A0B4C8" w:sz="1"/>
            </w:tcBorders>
            <w:shd w:fill="EAF0F5"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Broad Form</w:t>
            </w:r>
          </w:p>
        </w:tc>
        <w:tc>
          <w:tcPr>
            <w:tcW w:type="dxa" w:w="2480"/>
            <w:tcBorders>
              <w:top w:val="single" w:color="A0B4C8" w:sz="1"/>
              <w:left w:val="single" w:color="A0B4C8" w:sz="1"/>
              <w:bottom w:val="single" w:color="A0B4C8" w:sz="1"/>
              <w:right w:val="single" w:color="A0B4C8" w:sz="1"/>
            </w:tcBorders>
            <w:shd w:fill="EAF0F5"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Named perils (16 perils)</w:t>
            </w:r>
          </w:p>
        </w:tc>
        <w:tc>
          <w:tcPr>
            <w:tcW w:type="dxa" w:w="3480"/>
            <w:tcBorders>
              <w:top w:val="single" w:color="A0B4C8" w:sz="1"/>
              <w:left w:val="single" w:color="A0B4C8" w:sz="1"/>
              <w:bottom w:val="single" w:color="A0B4C8" w:sz="1"/>
              <w:right w:val="single" w:color="A0B4C8" w:sz="1"/>
            </w:tcBorders>
            <w:shd w:fill="EAF0F5"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Provides broader named perils protection than HO-1 for owner-occupied homes; still narrower than HO-3</w:t>
            </w:r>
          </w:p>
        </w:tc>
      </w:tr>
      <w:tr>
        <w:tc>
          <w:tcPr>
            <w:tcW w:type="dxa" w:w="1440"/>
            <w:tcBorders>
              <w:top w:val="single" w:color="A0B4C8" w:sz="1"/>
              <w:left w:val="single" w:color="A0B4C8" w:sz="1"/>
              <w:bottom w:val="single" w:color="A0B4C8" w:sz="1"/>
              <w:right w:val="single" w:color="A0B4C8" w:sz="1"/>
            </w:tcBorders>
            <w:shd w:fill="FFFFFF" w:val="clear"/>
            <w:tcMar>
              <w:top w:type="dxa" w:w="80"/>
              <w:left w:type="dxa" w:w="140"/>
              <w:bottom w:type="dxa" w:w="80"/>
              <w:right w:type="dxa" w:w="140"/>
            </w:tcMar>
          </w:tcPr>
          <w:p>
            <w:pPr>
              <w:spacing w:after="0" w:before="0"/>
            </w:pPr>
            <w:r>
              <w:rPr>
                <w:rFonts w:ascii="Arial" w:cs="Arial" w:eastAsia="Arial" w:hAnsi="Arial"/>
                <w:b/>
                <w:bCs/>
                <w:color w:val="1A2E48"/>
                <w:sz w:val="19"/>
                <w:szCs w:val="19"/>
              </w:rPr>
              <w:t xml:space="preserve">HO-3</w:t>
            </w:r>
          </w:p>
        </w:tc>
        <w:tc>
          <w:tcPr>
            <w:tcW w:type="dxa" w:w="1960"/>
            <w:tcBorders>
              <w:top w:val="single" w:color="A0B4C8" w:sz="1"/>
              <w:left w:val="single" w:color="A0B4C8" w:sz="1"/>
              <w:bottom w:val="single" w:color="A0B4C8" w:sz="1"/>
              <w:right w:val="single" w:color="A0B4C8"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Special Form</w:t>
            </w:r>
          </w:p>
        </w:tc>
        <w:tc>
          <w:tcPr>
            <w:tcW w:type="dxa" w:w="2480"/>
            <w:tcBorders>
              <w:top w:val="single" w:color="A0B4C8" w:sz="1"/>
              <w:left w:val="single" w:color="A0B4C8" w:sz="1"/>
              <w:bottom w:val="single" w:color="A0B4C8" w:sz="1"/>
              <w:right w:val="single" w:color="A0B4C8"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Open perils (A&amp;B) / Named (C)</w:t>
            </w:r>
          </w:p>
        </w:tc>
        <w:tc>
          <w:tcPr>
            <w:tcW w:type="dxa" w:w="3480"/>
            <w:tcBorders>
              <w:top w:val="single" w:color="A0B4C8" w:sz="1"/>
              <w:left w:val="single" w:color="A0B4C8" w:sz="1"/>
              <w:bottom w:val="single" w:color="A0B4C8" w:sz="1"/>
              <w:right w:val="single" w:color="A0B4C8"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Most common homeowners policy; open perils on dwelling, named perils on personal property</w:t>
            </w:r>
          </w:p>
        </w:tc>
      </w:tr>
      <w:tr>
        <w:tc>
          <w:tcPr>
            <w:tcW w:type="dxa" w:w="1440"/>
            <w:tcBorders>
              <w:top w:val="single" w:color="A0B4C8" w:sz="1"/>
              <w:left w:val="single" w:color="A0B4C8" w:sz="1"/>
              <w:bottom w:val="single" w:color="A0B4C8" w:sz="1"/>
              <w:right w:val="single" w:color="A0B4C8" w:sz="1"/>
            </w:tcBorders>
            <w:shd w:fill="EAF0F5" w:val="clear"/>
            <w:tcMar>
              <w:top w:type="dxa" w:w="80"/>
              <w:left w:type="dxa" w:w="140"/>
              <w:bottom w:type="dxa" w:w="80"/>
              <w:right w:type="dxa" w:w="140"/>
            </w:tcMar>
          </w:tcPr>
          <w:p>
            <w:pPr>
              <w:spacing w:after="0" w:before="0"/>
            </w:pPr>
            <w:r>
              <w:rPr>
                <w:rFonts w:ascii="Arial" w:cs="Arial" w:eastAsia="Arial" w:hAnsi="Arial"/>
                <w:b/>
                <w:bCs/>
                <w:color w:val="1A2E48"/>
                <w:sz w:val="19"/>
                <w:szCs w:val="19"/>
              </w:rPr>
              <w:t xml:space="preserve">HO-4</w:t>
            </w:r>
          </w:p>
        </w:tc>
        <w:tc>
          <w:tcPr>
            <w:tcW w:type="dxa" w:w="1960"/>
            <w:tcBorders>
              <w:top w:val="single" w:color="A0B4C8" w:sz="1"/>
              <w:left w:val="single" w:color="A0B4C8" w:sz="1"/>
              <w:bottom w:val="single" w:color="A0B4C8" w:sz="1"/>
              <w:right w:val="single" w:color="A0B4C8" w:sz="1"/>
            </w:tcBorders>
            <w:shd w:fill="EAF0F5"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Renters Form</w:t>
            </w:r>
          </w:p>
        </w:tc>
        <w:tc>
          <w:tcPr>
            <w:tcW w:type="dxa" w:w="2480"/>
            <w:tcBorders>
              <w:top w:val="single" w:color="A0B4C8" w:sz="1"/>
              <w:left w:val="single" w:color="A0B4C8" w:sz="1"/>
              <w:bottom w:val="single" w:color="A0B4C8" w:sz="1"/>
              <w:right w:val="single" w:color="A0B4C8" w:sz="1"/>
            </w:tcBorders>
            <w:shd w:fill="EAF0F5"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Named perils (16 perils)</w:t>
            </w:r>
          </w:p>
        </w:tc>
        <w:tc>
          <w:tcPr>
            <w:tcW w:type="dxa" w:w="3480"/>
            <w:tcBorders>
              <w:top w:val="single" w:color="A0B4C8" w:sz="1"/>
              <w:left w:val="single" w:color="A0B4C8" w:sz="1"/>
              <w:bottom w:val="single" w:color="A0B4C8" w:sz="1"/>
              <w:right w:val="single" w:color="A0B4C8" w:sz="1"/>
            </w:tcBorders>
            <w:shd w:fill="EAF0F5"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Specifically designed for renters; no dwelling coverage; covers personal property and liability</w:t>
            </w:r>
          </w:p>
        </w:tc>
      </w:tr>
      <w:tr>
        <w:tc>
          <w:tcPr>
            <w:tcW w:type="dxa" w:w="1440"/>
            <w:tcBorders>
              <w:top w:val="single" w:color="A0B4C8" w:sz="1"/>
              <w:left w:val="single" w:color="A0B4C8" w:sz="1"/>
              <w:bottom w:val="single" w:color="A0B4C8" w:sz="1"/>
              <w:right w:val="single" w:color="A0B4C8" w:sz="1"/>
            </w:tcBorders>
            <w:shd w:fill="FFFFFF" w:val="clear"/>
            <w:tcMar>
              <w:top w:type="dxa" w:w="80"/>
              <w:left w:type="dxa" w:w="140"/>
              <w:bottom w:type="dxa" w:w="80"/>
              <w:right w:type="dxa" w:w="140"/>
            </w:tcMar>
          </w:tcPr>
          <w:p>
            <w:pPr>
              <w:spacing w:after="0" w:before="0"/>
            </w:pPr>
            <w:r>
              <w:rPr>
                <w:rFonts w:ascii="Arial" w:cs="Arial" w:eastAsia="Arial" w:hAnsi="Arial"/>
                <w:b/>
                <w:bCs/>
                <w:color w:val="1A2E48"/>
                <w:sz w:val="19"/>
                <w:szCs w:val="19"/>
              </w:rPr>
              <w:t xml:space="preserve">HO-5</w:t>
            </w:r>
          </w:p>
        </w:tc>
        <w:tc>
          <w:tcPr>
            <w:tcW w:type="dxa" w:w="1960"/>
            <w:tcBorders>
              <w:top w:val="single" w:color="A0B4C8" w:sz="1"/>
              <w:left w:val="single" w:color="A0B4C8" w:sz="1"/>
              <w:bottom w:val="single" w:color="A0B4C8" w:sz="1"/>
              <w:right w:val="single" w:color="A0B4C8"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Comprehensive Form</w:t>
            </w:r>
          </w:p>
        </w:tc>
        <w:tc>
          <w:tcPr>
            <w:tcW w:type="dxa" w:w="2480"/>
            <w:tcBorders>
              <w:top w:val="single" w:color="A0B4C8" w:sz="1"/>
              <w:left w:val="single" w:color="A0B4C8" w:sz="1"/>
              <w:bottom w:val="single" w:color="A0B4C8" w:sz="1"/>
              <w:right w:val="single" w:color="A0B4C8"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Open perils on A, B, and C</w:t>
            </w:r>
          </w:p>
        </w:tc>
        <w:tc>
          <w:tcPr>
            <w:tcW w:type="dxa" w:w="3480"/>
            <w:tcBorders>
              <w:top w:val="single" w:color="A0B4C8" w:sz="1"/>
              <w:left w:val="single" w:color="A0B4C8" w:sz="1"/>
              <w:bottom w:val="single" w:color="A0B4C8" w:sz="1"/>
              <w:right w:val="single" w:color="A0B4C8"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Broadest standard coverage; open perils on both dwelling AND personal property; premium price</w:t>
            </w:r>
          </w:p>
        </w:tc>
      </w:tr>
      <w:tr>
        <w:tc>
          <w:tcPr>
            <w:tcW w:type="dxa" w:w="1440"/>
            <w:tcBorders>
              <w:top w:val="single" w:color="A0B4C8" w:sz="1"/>
              <w:left w:val="single" w:color="A0B4C8" w:sz="1"/>
              <w:bottom w:val="single" w:color="A0B4C8" w:sz="1"/>
              <w:right w:val="single" w:color="A0B4C8" w:sz="1"/>
            </w:tcBorders>
            <w:shd w:fill="EAF0F5" w:val="clear"/>
            <w:tcMar>
              <w:top w:type="dxa" w:w="80"/>
              <w:left w:type="dxa" w:w="140"/>
              <w:bottom w:type="dxa" w:w="80"/>
              <w:right w:type="dxa" w:w="140"/>
            </w:tcMar>
          </w:tcPr>
          <w:p>
            <w:pPr>
              <w:spacing w:after="0" w:before="0"/>
            </w:pPr>
            <w:r>
              <w:rPr>
                <w:rFonts w:ascii="Arial" w:cs="Arial" w:eastAsia="Arial" w:hAnsi="Arial"/>
                <w:b/>
                <w:bCs/>
                <w:color w:val="1A2E48"/>
                <w:sz w:val="19"/>
                <w:szCs w:val="19"/>
              </w:rPr>
              <w:t xml:space="preserve">HO-6</w:t>
            </w:r>
          </w:p>
        </w:tc>
        <w:tc>
          <w:tcPr>
            <w:tcW w:type="dxa" w:w="1960"/>
            <w:tcBorders>
              <w:top w:val="single" w:color="A0B4C8" w:sz="1"/>
              <w:left w:val="single" w:color="A0B4C8" w:sz="1"/>
              <w:bottom w:val="single" w:color="A0B4C8" w:sz="1"/>
              <w:right w:val="single" w:color="A0B4C8" w:sz="1"/>
            </w:tcBorders>
            <w:shd w:fill="EAF0F5"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Condo Unit Form</w:t>
            </w:r>
          </w:p>
        </w:tc>
        <w:tc>
          <w:tcPr>
            <w:tcW w:type="dxa" w:w="2480"/>
            <w:tcBorders>
              <w:top w:val="single" w:color="A0B4C8" w:sz="1"/>
              <w:left w:val="single" w:color="A0B4C8" w:sz="1"/>
              <w:bottom w:val="single" w:color="A0B4C8" w:sz="1"/>
              <w:right w:val="single" w:color="A0B4C8" w:sz="1"/>
            </w:tcBorders>
            <w:shd w:fill="EAF0F5"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Named perils / Limited A</w:t>
            </w:r>
          </w:p>
        </w:tc>
        <w:tc>
          <w:tcPr>
            <w:tcW w:type="dxa" w:w="3480"/>
            <w:tcBorders>
              <w:top w:val="single" w:color="A0B4C8" w:sz="1"/>
              <w:left w:val="single" w:color="A0B4C8" w:sz="1"/>
              <w:bottom w:val="single" w:color="A0B4C8" w:sz="1"/>
              <w:right w:val="single" w:color="A0B4C8" w:sz="1"/>
            </w:tcBorders>
            <w:shd w:fill="EAF0F5"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For condo unit owners; limited dwelling coverage (interior); personal property and liability</w:t>
            </w:r>
          </w:p>
        </w:tc>
      </w:tr>
      <w:tr>
        <w:tc>
          <w:tcPr>
            <w:tcW w:type="dxa" w:w="1440"/>
            <w:tcBorders>
              <w:top w:val="single" w:color="A0B4C8" w:sz="1"/>
              <w:left w:val="single" w:color="A0B4C8" w:sz="1"/>
              <w:bottom w:val="single" w:color="A0B4C8" w:sz="1"/>
              <w:right w:val="single" w:color="A0B4C8" w:sz="1"/>
            </w:tcBorders>
            <w:shd w:fill="FFFFFF" w:val="clear"/>
            <w:tcMar>
              <w:top w:type="dxa" w:w="80"/>
              <w:left w:type="dxa" w:w="140"/>
              <w:bottom w:type="dxa" w:w="80"/>
              <w:right w:type="dxa" w:w="140"/>
            </w:tcMar>
          </w:tcPr>
          <w:p>
            <w:pPr>
              <w:spacing w:after="0" w:before="0"/>
            </w:pPr>
            <w:r>
              <w:rPr>
                <w:rFonts w:ascii="Arial" w:cs="Arial" w:eastAsia="Arial" w:hAnsi="Arial"/>
                <w:b/>
                <w:bCs/>
                <w:color w:val="1A2E48"/>
                <w:sz w:val="19"/>
                <w:szCs w:val="19"/>
              </w:rPr>
              <w:t xml:space="preserve">HO-7</w:t>
            </w:r>
          </w:p>
        </w:tc>
        <w:tc>
          <w:tcPr>
            <w:tcW w:type="dxa" w:w="1960"/>
            <w:tcBorders>
              <w:top w:val="single" w:color="A0B4C8" w:sz="1"/>
              <w:left w:val="single" w:color="A0B4C8" w:sz="1"/>
              <w:bottom w:val="single" w:color="A0B4C8" w:sz="1"/>
              <w:right w:val="single" w:color="A0B4C8"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Mobile Home Form</w:t>
            </w:r>
          </w:p>
        </w:tc>
        <w:tc>
          <w:tcPr>
            <w:tcW w:type="dxa" w:w="2480"/>
            <w:tcBorders>
              <w:top w:val="single" w:color="A0B4C8" w:sz="1"/>
              <w:left w:val="single" w:color="A0B4C8" w:sz="1"/>
              <w:bottom w:val="single" w:color="A0B4C8" w:sz="1"/>
              <w:right w:val="single" w:color="A0B4C8"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Open perils (A&amp;B) / Named (C)</w:t>
            </w:r>
          </w:p>
        </w:tc>
        <w:tc>
          <w:tcPr>
            <w:tcW w:type="dxa" w:w="3480"/>
            <w:tcBorders>
              <w:top w:val="single" w:color="A0B4C8" w:sz="1"/>
              <w:left w:val="single" w:color="A0B4C8" w:sz="1"/>
              <w:bottom w:val="single" w:color="A0B4C8" w:sz="1"/>
              <w:right w:val="single" w:color="A0B4C8"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For mobile and manufactured homes; similar structure to HO-3 but tailored for mobile home risk</w:t>
            </w:r>
          </w:p>
        </w:tc>
      </w:tr>
      <w:tr>
        <w:tc>
          <w:tcPr>
            <w:tcW w:type="dxa" w:w="1440"/>
            <w:tcBorders>
              <w:top w:val="single" w:color="A0B4C8" w:sz="1"/>
              <w:left w:val="single" w:color="A0B4C8" w:sz="1"/>
              <w:bottom w:val="single" w:color="A0B4C8" w:sz="1"/>
              <w:right w:val="single" w:color="A0B4C8" w:sz="1"/>
            </w:tcBorders>
            <w:shd w:fill="EAF0F5" w:val="clear"/>
            <w:tcMar>
              <w:top w:type="dxa" w:w="80"/>
              <w:left w:type="dxa" w:w="140"/>
              <w:bottom w:type="dxa" w:w="80"/>
              <w:right w:type="dxa" w:w="140"/>
            </w:tcMar>
          </w:tcPr>
          <w:p>
            <w:pPr>
              <w:spacing w:after="0" w:before="0"/>
            </w:pPr>
            <w:r>
              <w:rPr>
                <w:rFonts w:ascii="Arial" w:cs="Arial" w:eastAsia="Arial" w:hAnsi="Arial"/>
                <w:b/>
                <w:bCs/>
                <w:color w:val="1A2E48"/>
                <w:sz w:val="19"/>
                <w:szCs w:val="19"/>
              </w:rPr>
              <w:t xml:space="preserve">HO-8</w:t>
            </w:r>
          </w:p>
        </w:tc>
        <w:tc>
          <w:tcPr>
            <w:tcW w:type="dxa" w:w="1960"/>
            <w:tcBorders>
              <w:top w:val="single" w:color="A0B4C8" w:sz="1"/>
              <w:left w:val="single" w:color="A0B4C8" w:sz="1"/>
              <w:bottom w:val="single" w:color="A0B4C8" w:sz="1"/>
              <w:right w:val="single" w:color="A0B4C8" w:sz="1"/>
            </w:tcBorders>
            <w:shd w:fill="EAF0F5"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Modified Coverage Form</w:t>
            </w:r>
          </w:p>
        </w:tc>
        <w:tc>
          <w:tcPr>
            <w:tcW w:type="dxa" w:w="2480"/>
            <w:tcBorders>
              <w:top w:val="single" w:color="A0B4C8" w:sz="1"/>
              <w:left w:val="single" w:color="A0B4C8" w:sz="1"/>
              <w:bottom w:val="single" w:color="A0B4C8" w:sz="1"/>
              <w:right w:val="single" w:color="A0B4C8" w:sz="1"/>
            </w:tcBorders>
            <w:shd w:fill="EAF0F5"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Named perils (ACV basis)</w:t>
            </w:r>
          </w:p>
        </w:tc>
        <w:tc>
          <w:tcPr>
            <w:tcW w:type="dxa" w:w="3480"/>
            <w:tcBorders>
              <w:top w:val="single" w:color="A0B4C8" w:sz="1"/>
              <w:left w:val="single" w:color="A0B4C8" w:sz="1"/>
              <w:bottom w:val="single" w:color="A0B4C8" w:sz="1"/>
              <w:right w:val="single" w:color="A0B4C8" w:sz="1"/>
            </w:tcBorders>
            <w:shd w:fill="EAF0F5"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For older or historic homes where replacement cost exceeds market value; functional replacement standard</w:t>
            </w:r>
          </w:p>
        </w:tc>
      </w:tr>
    </w:tbl>
    <w:p>
      <w:pPr>
        <w:spacing w:after="0" w:before="100"/>
      </w:pPr>
      <w:r>
        <w:rPr>
          <w:rFonts w:ascii="Arial" w:cs="Arial" w:eastAsia="Arial" w:hAnsi="Arial"/>
        </w:rPr>
        <w:t xml:space="preserve"/>
      </w:r>
    </w:p>
    <w:p>
      <w:pPr>
        <w:pBdr>
          <w:bottom w:val="single" w:color="AABCCC" w:sz="4" w:space="4"/>
        </w:pBdr>
        <w:spacing w:after="80" w:before="220"/>
      </w:pPr>
      <w:r>
        <w:rPr>
          <w:rFonts w:ascii="Arial" w:cs="Arial" w:eastAsia="Arial" w:hAnsi="Arial"/>
          <w:b/>
          <w:bCs/>
          <w:color w:val="1A2E48"/>
          <w:sz w:val="24"/>
          <w:szCs w:val="24"/>
        </w:rPr>
        <w:t xml:space="preserve">The HO-3: The Standard for Most Homeowners</w:t>
      </w:r>
    </w:p>
    <w:p>
      <w:pPr>
        <w:spacing w:after="110" w:before="80"/>
      </w:pPr>
      <w:r>
        <w:rPr>
          <w:rFonts w:ascii="Arial" w:cs="Arial" w:eastAsia="Arial" w:hAnsi="Arial"/>
          <w:color w:val="141C28"/>
          <w:sz w:val="22"/>
          <w:szCs w:val="22"/>
        </w:rPr>
        <w:t xml:space="preserve">The HO-3 Special Form is the most widely used homeowners policy form in the United States. It provides open perils coverage on the dwelling (Coverage A) and other structures (Coverage B) — meaning all losses are covered unless specifically excluded — and named perils coverage on personal property (Coverage C). This combination gives the dwelling the broadest available protection while applying the narrower named perils standard to personal property.</w:t>
      </w:r>
    </w:p>
    <w:p>
      <w:pPr>
        <w:spacing w:after="0" w:before="80"/>
      </w:pPr>
      <w:r>
        <w:rPr>
          <w:rFonts w:ascii="Arial" w:cs="Arial" w:eastAsia="Arial" w:hAnsi="Arial"/>
        </w:rPr>
        <w:t xml:space="preserve"/>
      </w:r>
    </w:p>
    <w:p>
      <w:pPr>
        <w:spacing w:after="110" w:before="80"/>
      </w:pPr>
      <w:r>
        <w:rPr>
          <w:rFonts w:ascii="Arial" w:cs="Arial" w:eastAsia="Arial" w:hAnsi="Arial"/>
          <w:color w:val="141C28"/>
          <w:sz w:val="22"/>
          <w:szCs w:val="22"/>
        </w:rPr>
        <w:t xml:space="preserve">Most homeowners who request “standard homeowners insurance” will receive an HO-3 policy. The open perils standard on the dwelling means that ambiguous or unusual losses — such as a ceiling collapse from a poorly understood cause — are generally covered unless the insurer can specifically identify an applicable exclusion. This is a significant practical advantage over named perils coverage.</w:t>
      </w:r>
    </w:p>
    <w:p>
      <w:pPr>
        <w:spacing w:after="0" w:before="100"/>
      </w:pPr>
      <w:r>
        <w:rPr>
          <w:rFonts w:ascii="Arial" w:cs="Arial" w:eastAsia="Arial" w:hAnsi="Arial"/>
        </w:rPr>
        <w:t xml:space="preserve"/>
      </w:r>
    </w:p>
    <w:p>
      <w:pPr>
        <w:pBdr>
          <w:bottom w:val="single" w:color="AABCCC" w:sz="4" w:space="4"/>
        </w:pBdr>
        <w:spacing w:after="80" w:before="220"/>
      </w:pPr>
      <w:r>
        <w:rPr>
          <w:rFonts w:ascii="Arial" w:cs="Arial" w:eastAsia="Arial" w:hAnsi="Arial"/>
          <w:b/>
          <w:bCs/>
          <w:color w:val="1A2E48"/>
          <w:sz w:val="24"/>
          <w:szCs w:val="24"/>
        </w:rPr>
        <w:t xml:space="preserve">The HO-5: The Premium Choice</w:t>
      </w:r>
    </w:p>
    <w:p>
      <w:pPr>
        <w:spacing w:after="110" w:before="80"/>
      </w:pPr>
      <w:r>
        <w:rPr>
          <w:rFonts w:ascii="Arial" w:cs="Arial" w:eastAsia="Arial" w:hAnsi="Arial"/>
          <w:color w:val="141C28"/>
          <w:sz w:val="22"/>
          <w:szCs w:val="22"/>
        </w:rPr>
        <w:t xml:space="preserve">The HO-5 Comprehensive Form extends open perils coverage to personal property (Coverage C) as well as the dwelling. This means personal property losses are covered for all causes unless specifically excluded — the same broad standard that applies to the dwelling under HO-3. The HO-5 typically also includes replacement cost coverage for personal property as standard rather than as an endorsement, and may include higher sublimits for jewelry and other valuables.</w:t>
      </w:r>
    </w:p>
    <w:p>
      <w:pPr>
        <w:spacing w:after="0" w:before="80"/>
      </w:pPr>
      <w:r>
        <w:rPr>
          <w:rFonts w:ascii="Arial" w:cs="Arial" w:eastAsia="Arial" w:hAnsi="Arial"/>
        </w:rPr>
        <w:t xml:space="preserve"/>
      </w:r>
    </w:p>
    <w:p>
      <w:pPr>
        <w:spacing w:after="110" w:before="80"/>
      </w:pPr>
      <w:r>
        <w:rPr>
          <w:rFonts w:ascii="Arial" w:cs="Arial" w:eastAsia="Arial" w:hAnsi="Arial"/>
          <w:color w:val="141C28"/>
          <w:sz w:val="22"/>
          <w:szCs w:val="22"/>
        </w:rPr>
        <w:t xml:space="preserve">HO-5 policies are available from select carriers and typically command a premium above the HO-3 cost. For homeowners with valuable personal property, a history of unusual losses, or a preference for the broadest possible coverage, the HO-5 is worth the additional premium.</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A4468" w:sz="18"/>
              <w:bottom w:val="none" w:color="FFFFFF" w:sz="0"/>
              <w:right w:val="none" w:color="FFFFFF" w:sz="0"/>
            </w:tcBorders>
            <w:shd w:fill="EAF0F5" w:val="clear"/>
            <w:tcMar>
              <w:top w:type="dxa" w:w="110"/>
              <w:left w:type="dxa" w:w="200"/>
              <w:bottom w:type="dxa" w:w="110"/>
              <w:right w:type="dxa" w:w="160"/>
            </w:tcMar>
          </w:tcPr>
          <w:p>
            <w:pPr>
              <w:spacing w:after="0" w:before="0"/>
            </w:pPr>
            <w:r>
              <w:rPr>
                <w:rFonts w:ascii="Arial" w:cs="Arial" w:eastAsia="Arial" w:hAnsi="Arial"/>
                <w:b/>
                <w:bCs/>
                <w:color w:val="1A2E48"/>
                <w:sz w:val="20"/>
                <w:szCs w:val="20"/>
              </w:rPr>
              <w:t xml:space="preserve">Key Takeaway: </w:t>
            </w:r>
            <w:r>
              <w:rPr>
                <w:rFonts w:ascii="Arial" w:cs="Arial" w:eastAsia="Arial" w:hAnsi="Arial"/>
                <w:color w:val="2C3848"/>
                <w:sz w:val="20"/>
                <w:szCs w:val="20"/>
              </w:rPr>
              <w:t xml:space="preserve">For most owner-occupied single-family homes, the HO-3 Special Form is the standard recommendation — with the key enhancement of adding a replacement cost endorsement for personal property (Coverage C). Homeowners with high-value personal property or who want the broadest possible protection should ask about HO-5 availability from their carrier.</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A2E48" w:val="clear"/>
            <w:tcMar>
              <w:top w:type="dxa" w:w="160"/>
              <w:left w:type="dxa" w:w="240"/>
              <w:bottom w:type="dxa" w:w="160"/>
              <w:right w:type="dxa" w:w="240"/>
            </w:tcMar>
          </w:tcPr>
          <w:p>
            <w:pPr>
              <w:spacing w:after="0" w:before="0"/>
            </w:pPr>
            <w:r>
              <w:rPr>
                <w:rFonts w:ascii="Arial" w:cs="Arial" w:eastAsia="Arial" w:hAnsi="Arial"/>
                <w:b/>
                <w:bCs/>
                <w:color w:val="AABCCC"/>
                <w:sz w:val="28"/>
                <w:szCs w:val="28"/>
              </w:rPr>
              <w:t xml:space="preserve">8.  </w:t>
            </w:r>
            <w:r>
              <w:rPr>
                <w:rFonts w:ascii="Arial" w:cs="Arial" w:eastAsia="Arial" w:hAnsi="Arial"/>
                <w:b/>
                <w:bCs/>
                <w:color w:val="FFFFFF"/>
                <w:sz w:val="28"/>
                <w:szCs w:val="28"/>
              </w:rPr>
              <w:t xml:space="preserve">Replacement Cost vs. Actual Cash Value</w:t>
            </w:r>
          </w:p>
        </w:tc>
      </w:tr>
    </w:tbl>
    <w:p>
      <w:pPr>
        <w:spacing w:after="0" w:before="100"/>
      </w:pPr>
      <w:r>
        <w:rPr>
          <w:rFonts w:ascii="Arial" w:cs="Arial" w:eastAsia="Arial" w:hAnsi="Arial"/>
        </w:rPr>
        <w:t xml:space="preserve"/>
      </w:r>
    </w:p>
    <w:p>
      <w:pPr>
        <w:spacing w:after="110" w:before="80"/>
      </w:pPr>
      <w:r>
        <w:rPr>
          <w:rFonts w:ascii="Arial" w:cs="Arial" w:eastAsia="Arial" w:hAnsi="Arial"/>
          <w:color w:val="141C28"/>
          <w:sz w:val="22"/>
          <w:szCs w:val="22"/>
        </w:rPr>
        <w:t xml:space="preserve">How a claim is valued — how much the insurance company actually pays when you suffer a covered loss — is determined by the valuation method specified in the policy. The two standard valuation methods are replacement cost (RC) and actual cash value (ACV), and the financial difference between them can be enormous, particularly for older homes and personal property.</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A0B4C8" w:sz="1"/>
              <w:left w:val="single" w:color="A0B4C8" w:sz="1"/>
              <w:bottom w:val="single" w:color="A0B4C8" w:sz="1"/>
              <w:right w:val="single" w:color="A0B4C8" w:sz="1"/>
            </w:tcBorders>
            <w:shd w:fill="EAF0F5" w:val="clear"/>
            <w:tcMar>
              <w:top w:type="dxa" w:w="110"/>
              <w:left w:type="dxa" w:w="160"/>
              <w:bottom w:type="dxa" w:w="110"/>
              <w:right w:type="dxa" w:w="160"/>
            </w:tcMar>
          </w:tcPr>
          <w:p>
            <w:pPr>
              <w:spacing w:after="60" w:before="0"/>
            </w:pPr>
            <w:r>
              <w:rPr>
                <w:rFonts w:ascii="Arial" w:cs="Arial" w:eastAsia="Arial" w:hAnsi="Arial"/>
                <w:b/>
                <w:bCs/>
                <w:color w:val="2A4468"/>
                <w:sz w:val="19"/>
                <w:szCs w:val="19"/>
              </w:rPr>
              <w:t xml:space="preserve">Replacement Cost (RC)</w:t>
            </w:r>
          </w:p>
          <w:p>
            <w:pPr>
              <w:spacing w:after="0" w:before="0"/>
            </w:pPr>
            <w:r>
              <w:rPr>
                <w:rFonts w:ascii="Arial" w:cs="Arial" w:eastAsia="Arial" w:hAnsi="Arial"/>
                <w:color w:val="2C3848"/>
                <w:sz w:val="20"/>
                <w:szCs w:val="20"/>
              </w:rPr>
              <w:t xml:space="preserve">Pays the full cost to repair or replace damaged property with new materials of like kind and quality, without any deduction for depreciation. Under a replacement cost policy, a 10-year-old roof that is destroyed is replaced with a new roof at today’s prices — without any deduction for the fact that the original roof had depreciated over 10 years of its useful life.</w:t>
            </w:r>
          </w:p>
        </w:tc>
        <w:tc>
          <w:tcPr>
            <w:tcW w:type="dxa" w:w="4620"/>
            <w:tcBorders>
              <w:top w:val="single" w:color="A0B4C8" w:sz="1"/>
              <w:left w:val="single" w:color="A0B4C8" w:sz="1"/>
              <w:bottom w:val="single" w:color="A0B4C8" w:sz="1"/>
              <w:right w:val="single" w:color="A0B4C8" w:sz="1"/>
            </w:tcBorders>
            <w:shd w:fill="EAF0F5" w:val="clear"/>
            <w:tcMar>
              <w:top w:type="dxa" w:w="110"/>
              <w:left w:type="dxa" w:w="160"/>
              <w:bottom w:type="dxa" w:w="110"/>
              <w:right w:type="dxa" w:w="160"/>
            </w:tcMar>
          </w:tcPr>
          <w:p>
            <w:pPr>
              <w:spacing w:after="60" w:before="0"/>
            </w:pPr>
            <w:r>
              <w:rPr>
                <w:rFonts w:ascii="Arial" w:cs="Arial" w:eastAsia="Arial" w:hAnsi="Arial"/>
                <w:b/>
                <w:bCs/>
                <w:color w:val="2A4468"/>
                <w:sz w:val="19"/>
                <w:szCs w:val="19"/>
              </w:rPr>
              <w:t xml:space="preserve">Actual Cash Value (ACV)</w:t>
            </w:r>
          </w:p>
          <w:p>
            <w:pPr>
              <w:spacing w:after="0" w:before="0"/>
            </w:pPr>
            <w:r>
              <w:rPr>
                <w:rFonts w:ascii="Arial" w:cs="Arial" w:eastAsia="Arial" w:hAnsi="Arial"/>
                <w:color w:val="2C3848"/>
                <w:sz w:val="20"/>
                <w:szCs w:val="20"/>
              </w:rPr>
              <w:t xml:space="preserve">Pays the depreciated value of damaged property at the time of loss — replacement cost minus depreciation. Depreciation accounts for age, wear, and reduced useful life of the damaged item. A 10-year-old roof with a 20-year expected life has been depreciated by 50%, so an ACV policy pays only 50% of the new roof cost.</w:t>
            </w:r>
          </w:p>
        </w:tc>
      </w:tr>
      <w:tr>
        <w:tc>
          <w:tcPr>
            <w:tcW w:type="dxa" w:w="4620"/>
            <w:tcBorders>
              <w:top w:val="single" w:color="A0B4C8" w:sz="1"/>
              <w:left w:val="single" w:color="A0B4C8" w:sz="1"/>
              <w:bottom w:val="single" w:color="A0B4C8" w:sz="1"/>
              <w:right w:val="single" w:color="A0B4C8" w:sz="1"/>
            </w:tcBorders>
            <w:shd w:fill="EAF0F5" w:val="clear"/>
            <w:tcMar>
              <w:top w:type="dxa" w:w="110"/>
              <w:left w:type="dxa" w:w="160"/>
              <w:bottom w:type="dxa" w:w="110"/>
              <w:right w:type="dxa" w:w="160"/>
            </w:tcMar>
          </w:tcPr>
          <w:p>
            <w:pPr>
              <w:spacing w:after="60" w:before="0"/>
            </w:pPr>
            <w:r>
              <w:rPr>
                <w:rFonts w:ascii="Arial" w:cs="Arial" w:eastAsia="Arial" w:hAnsi="Arial"/>
                <w:b/>
                <w:bCs/>
                <w:color w:val="2A4468"/>
                <w:sz w:val="19"/>
                <w:szCs w:val="19"/>
              </w:rPr>
              <w:t xml:space="preserve">How Depreciation Is Calculated</w:t>
            </w:r>
          </w:p>
          <w:p>
            <w:pPr>
              <w:spacing w:after="0" w:before="0"/>
            </w:pPr>
            <w:r>
              <w:rPr>
                <w:rFonts w:ascii="Arial" w:cs="Arial" w:eastAsia="Arial" w:hAnsi="Arial"/>
                <w:color w:val="2C3848"/>
                <w:sz w:val="20"/>
                <w:szCs w:val="20"/>
              </w:rPr>
              <w:t xml:space="preserve">Insurers calculate depreciation based on the item’s expected useful life and its age at the time of loss. A laptop expected to last 5 years that is destroyed after 3 years has lost 60% of its value under a straight-line depreciation model. Condition, maintenance, and observable wear also factor into depreciation calculations.</w:t>
            </w:r>
          </w:p>
        </w:tc>
        <w:tc>
          <w:tcPr>
            <w:tcW w:type="dxa" w:w="4620"/>
            <w:tcBorders>
              <w:top w:val="single" w:color="A0B4C8" w:sz="1"/>
              <w:left w:val="single" w:color="A0B4C8" w:sz="1"/>
              <w:bottom w:val="single" w:color="A0B4C8" w:sz="1"/>
              <w:right w:val="single" w:color="A0B4C8" w:sz="1"/>
            </w:tcBorders>
            <w:shd w:fill="EAF0F5" w:val="clear"/>
            <w:tcMar>
              <w:top w:type="dxa" w:w="110"/>
              <w:left w:type="dxa" w:w="160"/>
              <w:bottom w:type="dxa" w:w="110"/>
              <w:right w:type="dxa" w:w="160"/>
            </w:tcMar>
          </w:tcPr>
          <w:p>
            <w:pPr>
              <w:spacing w:after="60" w:before="0"/>
            </w:pPr>
            <w:r>
              <w:rPr>
                <w:rFonts w:ascii="Arial" w:cs="Arial" w:eastAsia="Arial" w:hAnsi="Arial"/>
                <w:b/>
                <w:bCs/>
                <w:color w:val="2A4468"/>
                <w:sz w:val="19"/>
                <w:szCs w:val="19"/>
              </w:rPr>
              <w:t xml:space="preserve">Which Is Better</w:t>
            </w:r>
          </w:p>
          <w:p>
            <w:pPr>
              <w:spacing w:after="0" w:before="0"/>
            </w:pPr>
            <w:r>
              <w:rPr>
                <w:rFonts w:ascii="Arial" w:cs="Arial" w:eastAsia="Arial" w:hAnsi="Arial"/>
                <w:color w:val="2C3848"/>
                <w:sz w:val="20"/>
                <w:szCs w:val="20"/>
              </w:rPr>
              <w:t xml:space="preserve">Replacement cost coverage is always the preferred choice for both dwelling and personal property, as it ensures the policyholder can fully replace lost or damaged property. ACV coverage can leave homeowners significantly short of the funds needed to repair or replace, particularly on older items.</w:t>
            </w:r>
          </w:p>
        </w:tc>
      </w:tr>
    </w:tbl>
    <w:p>
      <w:pPr>
        <w:spacing w:after="0" w:before="100"/>
      </w:pPr>
      <w:r>
        <w:rPr>
          <w:rFonts w:ascii="Arial" w:cs="Arial" w:eastAsia="Arial" w:hAnsi="Arial"/>
        </w:rPr>
        <w:t xml:space="preserve"/>
      </w:r>
    </w:p>
    <w:p>
      <w:pPr>
        <w:pBdr>
          <w:bottom w:val="single" w:color="AABCCC" w:sz="4" w:space="4"/>
        </w:pBdr>
        <w:spacing w:after="80" w:before="220"/>
      </w:pPr>
      <w:r>
        <w:rPr>
          <w:rFonts w:ascii="Arial" w:cs="Arial" w:eastAsia="Arial" w:hAnsi="Arial"/>
          <w:b/>
          <w:bCs/>
          <w:color w:val="1A2E48"/>
          <w:sz w:val="24"/>
          <w:szCs w:val="24"/>
        </w:rPr>
        <w:t xml:space="preserve">Replacement Cost vs. ACV: The Numbers Tell the Story</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2320"/>
        <w:gridCol w:w="2320"/>
        <w:gridCol w:w="2320"/>
      </w:tblGrid>
      <w:tr>
        <w:tc>
          <w:tcPr>
            <w:tcW w:type="dxa" w:w="2400"/>
            <w:tcBorders>
              <w:top w:val="none" w:color="FFFFFF" w:sz="0"/>
              <w:left w:val="none" w:color="FFFFFF" w:sz="0"/>
              <w:bottom w:val="none" w:color="FFFFFF" w:sz="0"/>
              <w:right w:val="none" w:color="FFFFFF" w:sz="0"/>
            </w:tcBorders>
            <w:shd w:fill="1E2C3A" w:val="clear"/>
            <w:tcMar>
              <w:top w:type="dxa" w:w="100"/>
              <w:left w:type="dxa" w:w="140"/>
              <w:bottom w:type="dxa" w:w="100"/>
              <w:right w:type="dxa" w:w="140"/>
            </w:tcMar>
          </w:tcPr>
          <w:p>
            <w:pPr>
              <w:spacing w:after="0" w:before="0"/>
            </w:pPr>
            <w:r>
              <w:rPr>
                <w:rFonts w:ascii="Arial" w:cs="Arial" w:eastAsia="Arial" w:hAnsi="Arial"/>
                <w:b/>
                <w:bCs/>
                <w:color w:val="FFFFFF"/>
                <w:sz w:val="19"/>
                <w:szCs w:val="19"/>
              </w:rPr>
              <w:t xml:space="preserve">Scenario</w:t>
            </w:r>
          </w:p>
        </w:tc>
        <w:tc>
          <w:tcPr>
            <w:tcW w:type="dxa" w:w="2320"/>
            <w:tcBorders>
              <w:top w:val="none" w:color="FFFFFF" w:sz="0"/>
              <w:left w:val="none" w:color="FFFFFF" w:sz="0"/>
              <w:bottom w:val="none" w:color="FFFFFF" w:sz="0"/>
              <w:right w:val="none" w:color="FFFFFF" w:sz="0"/>
            </w:tcBorders>
            <w:shd w:fill="2A4468" w:val="clear"/>
            <w:tcMar>
              <w:top w:type="dxa" w:w="100"/>
              <w:left w:type="dxa" w:w="140"/>
              <w:bottom w:type="dxa" w:w="100"/>
              <w:right w:type="dxa" w:w="140"/>
            </w:tcMar>
          </w:tcPr>
          <w:p>
            <w:pPr>
              <w:spacing w:after="0" w:before="0"/>
            </w:pPr>
            <w:r>
              <w:rPr>
                <w:rFonts w:ascii="Arial" w:cs="Arial" w:eastAsia="Arial" w:hAnsi="Arial"/>
                <w:b/>
                <w:bCs/>
                <w:color w:val="FFFFFF"/>
                <w:sz w:val="19"/>
                <w:szCs w:val="19"/>
              </w:rPr>
              <w:t xml:space="preserve">Original Cost</w:t>
            </w:r>
          </w:p>
        </w:tc>
        <w:tc>
          <w:tcPr>
            <w:tcW w:type="dxa" w:w="2320"/>
            <w:tcBorders>
              <w:top w:val="none" w:color="FFFFFF" w:sz="0"/>
              <w:left w:val="none" w:color="FFFFFF" w:sz="0"/>
              <w:bottom w:val="none" w:color="FFFFFF" w:sz="0"/>
              <w:right w:val="none" w:color="FFFFFF" w:sz="0"/>
            </w:tcBorders>
            <w:shd w:fill="2A4468" w:val="clear"/>
            <w:tcMar>
              <w:top w:type="dxa" w:w="100"/>
              <w:left w:type="dxa" w:w="140"/>
              <w:bottom w:type="dxa" w:w="100"/>
              <w:right w:type="dxa" w:w="140"/>
            </w:tcMar>
          </w:tcPr>
          <w:p>
            <w:pPr>
              <w:spacing w:after="0" w:before="0"/>
            </w:pPr>
            <w:r>
              <w:rPr>
                <w:rFonts w:ascii="Arial" w:cs="Arial" w:eastAsia="Arial" w:hAnsi="Arial"/>
                <w:b/>
                <w:bCs/>
                <w:color w:val="FFFFFF"/>
                <w:sz w:val="19"/>
                <w:szCs w:val="19"/>
              </w:rPr>
              <w:t xml:space="preserve">ACV Payout</w:t>
            </w:r>
          </w:p>
        </w:tc>
        <w:tc>
          <w:tcPr>
            <w:tcW w:type="dxa" w:w="2320"/>
            <w:tcBorders>
              <w:top w:val="none" w:color="FFFFFF" w:sz="0"/>
              <w:left w:val="none" w:color="FFFFFF" w:sz="0"/>
              <w:bottom w:val="none" w:color="FFFFFF" w:sz="0"/>
              <w:right w:val="none" w:color="FFFFFF" w:sz="0"/>
            </w:tcBorders>
            <w:shd w:fill="2A4468" w:val="clear"/>
            <w:tcMar>
              <w:top w:type="dxa" w:w="100"/>
              <w:left w:type="dxa" w:w="140"/>
              <w:bottom w:type="dxa" w:w="100"/>
              <w:right w:type="dxa" w:w="140"/>
            </w:tcMar>
          </w:tcPr>
          <w:p>
            <w:pPr>
              <w:spacing w:after="0" w:before="0"/>
            </w:pPr>
            <w:r>
              <w:rPr>
                <w:rFonts w:ascii="Arial" w:cs="Arial" w:eastAsia="Arial" w:hAnsi="Arial"/>
                <w:b/>
                <w:bCs/>
                <w:color w:val="FFFFFF"/>
                <w:sz w:val="19"/>
                <w:szCs w:val="19"/>
              </w:rPr>
              <w:t xml:space="preserve">Replacement Cost Payout</w:t>
            </w:r>
          </w:p>
        </w:tc>
      </w:tr>
      <w:tr>
        <w:tc>
          <w:tcPr>
            <w:tcW w:type="dxa" w:w="2400"/>
            <w:tcBorders>
              <w:top w:val="single" w:color="A0B4C8" w:sz="1"/>
              <w:left w:val="single" w:color="A0B4C8" w:sz="1"/>
              <w:bottom w:val="single" w:color="A0B4C8" w:sz="1"/>
              <w:right w:val="single" w:color="A0B4C8" w:sz="1"/>
            </w:tcBorders>
            <w:shd w:fill="FFFFFF" w:val="clear"/>
            <w:tcMar>
              <w:top w:type="dxa" w:w="80"/>
              <w:left w:type="dxa" w:w="140"/>
              <w:bottom w:type="dxa" w:w="80"/>
              <w:right w:type="dxa" w:w="140"/>
            </w:tcMar>
          </w:tcPr>
          <w:p>
            <w:pPr>
              <w:spacing w:after="0" w:before="0"/>
            </w:pPr>
            <w:r>
              <w:rPr>
                <w:rFonts w:ascii="Arial" w:cs="Arial" w:eastAsia="Arial" w:hAnsi="Arial"/>
                <w:b/>
                <w:bCs/>
                <w:color w:val="141C28"/>
                <w:sz w:val="19"/>
                <w:szCs w:val="19"/>
              </w:rPr>
              <w:t xml:space="preserve">New roof (10-year roof, 5 years old)</w:t>
            </w:r>
          </w:p>
        </w:tc>
        <w:tc>
          <w:tcPr>
            <w:tcW w:type="dxa" w:w="2320"/>
            <w:tcBorders>
              <w:top w:val="single" w:color="A0B4C8" w:sz="1"/>
              <w:left w:val="single" w:color="A0B4C8" w:sz="1"/>
              <w:bottom w:val="single" w:color="A0B4C8" w:sz="1"/>
              <w:right w:val="single" w:color="A0B4C8"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$18,000</w:t>
            </w:r>
          </w:p>
        </w:tc>
        <w:tc>
          <w:tcPr>
            <w:tcW w:type="dxa" w:w="2320"/>
            <w:tcBorders>
              <w:top w:val="single" w:color="A0B4C8" w:sz="1"/>
              <w:left w:val="single" w:color="A0B4C8" w:sz="1"/>
              <w:bottom w:val="single" w:color="A0B4C8" w:sz="1"/>
              <w:right w:val="single" w:color="A0B4C8"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$9,000 (50% depreciated)</w:t>
            </w:r>
          </w:p>
        </w:tc>
        <w:tc>
          <w:tcPr>
            <w:tcW w:type="dxa" w:w="2320"/>
            <w:tcBorders>
              <w:top w:val="single" w:color="A0B4C8" w:sz="1"/>
              <w:left w:val="single" w:color="A0B4C8" w:sz="1"/>
              <w:bottom w:val="single" w:color="A0B4C8" w:sz="1"/>
              <w:right w:val="single" w:color="A0B4C8"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$18,000</w:t>
            </w:r>
          </w:p>
        </w:tc>
      </w:tr>
      <w:tr>
        <w:tc>
          <w:tcPr>
            <w:tcW w:type="dxa" w:w="2400"/>
            <w:tcBorders>
              <w:top w:val="single" w:color="A0B4C8" w:sz="1"/>
              <w:left w:val="single" w:color="A0B4C8" w:sz="1"/>
              <w:bottom w:val="single" w:color="A0B4C8" w:sz="1"/>
              <w:right w:val="single" w:color="A0B4C8" w:sz="1"/>
            </w:tcBorders>
            <w:shd w:fill="EAF0F5" w:val="clear"/>
            <w:tcMar>
              <w:top w:type="dxa" w:w="80"/>
              <w:left w:type="dxa" w:w="140"/>
              <w:bottom w:type="dxa" w:w="80"/>
              <w:right w:type="dxa" w:w="140"/>
            </w:tcMar>
          </w:tcPr>
          <w:p>
            <w:pPr>
              <w:spacing w:after="0" w:before="0"/>
            </w:pPr>
            <w:r>
              <w:rPr>
                <w:rFonts w:ascii="Arial" w:cs="Arial" w:eastAsia="Arial" w:hAnsi="Arial"/>
                <w:b/>
                <w:bCs/>
                <w:color w:val="141C28"/>
                <w:sz w:val="19"/>
                <w:szCs w:val="19"/>
              </w:rPr>
              <w:t xml:space="preserve">Leather sofa (12-year life, 8 years old)</w:t>
            </w:r>
          </w:p>
        </w:tc>
        <w:tc>
          <w:tcPr>
            <w:tcW w:type="dxa" w:w="2320"/>
            <w:tcBorders>
              <w:top w:val="single" w:color="A0B4C8" w:sz="1"/>
              <w:left w:val="single" w:color="A0B4C8" w:sz="1"/>
              <w:bottom w:val="single" w:color="A0B4C8" w:sz="1"/>
              <w:right w:val="single" w:color="A0B4C8" w:sz="1"/>
            </w:tcBorders>
            <w:shd w:fill="EAF0F5"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$2,400</w:t>
            </w:r>
          </w:p>
        </w:tc>
        <w:tc>
          <w:tcPr>
            <w:tcW w:type="dxa" w:w="2320"/>
            <w:tcBorders>
              <w:top w:val="single" w:color="A0B4C8" w:sz="1"/>
              <w:left w:val="single" w:color="A0B4C8" w:sz="1"/>
              <w:bottom w:val="single" w:color="A0B4C8" w:sz="1"/>
              <w:right w:val="single" w:color="A0B4C8" w:sz="1"/>
            </w:tcBorders>
            <w:shd w:fill="EAF0F5"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$800 (67% depreciated)</w:t>
            </w:r>
          </w:p>
        </w:tc>
        <w:tc>
          <w:tcPr>
            <w:tcW w:type="dxa" w:w="2320"/>
            <w:tcBorders>
              <w:top w:val="single" w:color="A0B4C8" w:sz="1"/>
              <w:left w:val="single" w:color="A0B4C8" w:sz="1"/>
              <w:bottom w:val="single" w:color="A0B4C8" w:sz="1"/>
              <w:right w:val="single" w:color="A0B4C8" w:sz="1"/>
            </w:tcBorders>
            <w:shd w:fill="EAF0F5"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$2,400</w:t>
            </w:r>
          </w:p>
        </w:tc>
      </w:tr>
      <w:tr>
        <w:tc>
          <w:tcPr>
            <w:tcW w:type="dxa" w:w="2400"/>
            <w:tcBorders>
              <w:top w:val="single" w:color="A0B4C8" w:sz="1"/>
              <w:left w:val="single" w:color="A0B4C8" w:sz="1"/>
              <w:bottom w:val="single" w:color="A0B4C8" w:sz="1"/>
              <w:right w:val="single" w:color="A0B4C8" w:sz="1"/>
            </w:tcBorders>
            <w:shd w:fill="FFFFFF" w:val="clear"/>
            <w:tcMar>
              <w:top w:type="dxa" w:w="80"/>
              <w:left w:type="dxa" w:w="140"/>
              <w:bottom w:type="dxa" w:w="80"/>
              <w:right w:type="dxa" w:w="140"/>
            </w:tcMar>
          </w:tcPr>
          <w:p>
            <w:pPr>
              <w:spacing w:after="0" w:before="0"/>
            </w:pPr>
            <w:r>
              <w:rPr>
                <w:rFonts w:ascii="Arial" w:cs="Arial" w:eastAsia="Arial" w:hAnsi="Arial"/>
                <w:b/>
                <w:bCs/>
                <w:color w:val="141C28"/>
                <w:sz w:val="19"/>
                <w:szCs w:val="19"/>
              </w:rPr>
              <w:t xml:space="preserve">Laptop (5-year life, 3 years old)</w:t>
            </w:r>
          </w:p>
        </w:tc>
        <w:tc>
          <w:tcPr>
            <w:tcW w:type="dxa" w:w="2320"/>
            <w:tcBorders>
              <w:top w:val="single" w:color="A0B4C8" w:sz="1"/>
              <w:left w:val="single" w:color="A0B4C8" w:sz="1"/>
              <w:bottom w:val="single" w:color="A0B4C8" w:sz="1"/>
              <w:right w:val="single" w:color="A0B4C8"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$1,400</w:t>
            </w:r>
          </w:p>
        </w:tc>
        <w:tc>
          <w:tcPr>
            <w:tcW w:type="dxa" w:w="2320"/>
            <w:tcBorders>
              <w:top w:val="single" w:color="A0B4C8" w:sz="1"/>
              <w:left w:val="single" w:color="A0B4C8" w:sz="1"/>
              <w:bottom w:val="single" w:color="A0B4C8" w:sz="1"/>
              <w:right w:val="single" w:color="A0B4C8"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$560 (60% depreciated)</w:t>
            </w:r>
          </w:p>
        </w:tc>
        <w:tc>
          <w:tcPr>
            <w:tcW w:type="dxa" w:w="2320"/>
            <w:tcBorders>
              <w:top w:val="single" w:color="A0B4C8" w:sz="1"/>
              <w:left w:val="single" w:color="A0B4C8" w:sz="1"/>
              <w:bottom w:val="single" w:color="A0B4C8" w:sz="1"/>
              <w:right w:val="single" w:color="A0B4C8"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$1,400</w:t>
            </w:r>
          </w:p>
        </w:tc>
      </w:tr>
      <w:tr>
        <w:tc>
          <w:tcPr>
            <w:tcW w:type="dxa" w:w="2400"/>
            <w:tcBorders>
              <w:top w:val="single" w:color="A0B4C8" w:sz="1"/>
              <w:left w:val="single" w:color="A0B4C8" w:sz="1"/>
              <w:bottom w:val="single" w:color="A0B4C8" w:sz="1"/>
              <w:right w:val="single" w:color="A0B4C8" w:sz="1"/>
            </w:tcBorders>
            <w:shd w:fill="EAF0F5" w:val="clear"/>
            <w:tcMar>
              <w:top w:type="dxa" w:w="80"/>
              <w:left w:type="dxa" w:w="140"/>
              <w:bottom w:type="dxa" w:w="80"/>
              <w:right w:type="dxa" w:w="140"/>
            </w:tcMar>
          </w:tcPr>
          <w:p>
            <w:pPr>
              <w:spacing w:after="0" w:before="0"/>
            </w:pPr>
            <w:r>
              <w:rPr>
                <w:rFonts w:ascii="Arial" w:cs="Arial" w:eastAsia="Arial" w:hAnsi="Arial"/>
                <w:b/>
                <w:bCs/>
                <w:color w:val="141C28"/>
                <w:sz w:val="19"/>
                <w:szCs w:val="19"/>
              </w:rPr>
              <w:t xml:space="preserve">Kitchen appliances (15-year, 10 years)</w:t>
            </w:r>
          </w:p>
        </w:tc>
        <w:tc>
          <w:tcPr>
            <w:tcW w:type="dxa" w:w="2320"/>
            <w:tcBorders>
              <w:top w:val="single" w:color="A0B4C8" w:sz="1"/>
              <w:left w:val="single" w:color="A0B4C8" w:sz="1"/>
              <w:bottom w:val="single" w:color="A0B4C8" w:sz="1"/>
              <w:right w:val="single" w:color="A0B4C8" w:sz="1"/>
            </w:tcBorders>
            <w:shd w:fill="EAF0F5"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$12,000</w:t>
            </w:r>
          </w:p>
        </w:tc>
        <w:tc>
          <w:tcPr>
            <w:tcW w:type="dxa" w:w="2320"/>
            <w:tcBorders>
              <w:top w:val="single" w:color="A0B4C8" w:sz="1"/>
              <w:left w:val="single" w:color="A0B4C8" w:sz="1"/>
              <w:bottom w:val="single" w:color="A0B4C8" w:sz="1"/>
              <w:right w:val="single" w:color="A0B4C8" w:sz="1"/>
            </w:tcBorders>
            <w:shd w:fill="EAF0F5"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$4,000 (67% depreciated)</w:t>
            </w:r>
          </w:p>
        </w:tc>
        <w:tc>
          <w:tcPr>
            <w:tcW w:type="dxa" w:w="2320"/>
            <w:tcBorders>
              <w:top w:val="single" w:color="A0B4C8" w:sz="1"/>
              <w:left w:val="single" w:color="A0B4C8" w:sz="1"/>
              <w:bottom w:val="single" w:color="A0B4C8" w:sz="1"/>
              <w:right w:val="single" w:color="A0B4C8" w:sz="1"/>
            </w:tcBorders>
            <w:shd w:fill="EAF0F5"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$12,000</w:t>
            </w:r>
          </w:p>
        </w:tc>
      </w:tr>
      <w:tr>
        <w:tc>
          <w:tcPr>
            <w:tcW w:type="dxa" w:w="2400"/>
            <w:tcBorders>
              <w:top w:val="single" w:color="A0B4C8" w:sz="1"/>
              <w:left w:val="single" w:color="A0B4C8" w:sz="1"/>
              <w:bottom w:val="single" w:color="A0B4C8" w:sz="1"/>
              <w:right w:val="single" w:color="A0B4C8" w:sz="1"/>
            </w:tcBorders>
            <w:shd w:fill="FFFFFF" w:val="clear"/>
            <w:tcMar>
              <w:top w:type="dxa" w:w="80"/>
              <w:left w:type="dxa" w:w="140"/>
              <w:bottom w:type="dxa" w:w="80"/>
              <w:right w:type="dxa" w:w="140"/>
            </w:tcMar>
          </w:tcPr>
          <w:p>
            <w:pPr>
              <w:spacing w:after="0" w:before="0"/>
            </w:pPr>
            <w:r>
              <w:rPr>
                <w:rFonts w:ascii="Arial" w:cs="Arial" w:eastAsia="Arial" w:hAnsi="Arial"/>
                <w:b/>
                <w:bCs/>
                <w:color w:val="141C28"/>
                <w:sz w:val="19"/>
                <w:szCs w:val="19"/>
              </w:rPr>
              <w:t xml:space="preserve">50% dwelling fire loss (25-yr home)</w:t>
            </w:r>
          </w:p>
        </w:tc>
        <w:tc>
          <w:tcPr>
            <w:tcW w:type="dxa" w:w="2320"/>
            <w:tcBorders>
              <w:top w:val="single" w:color="A0B4C8" w:sz="1"/>
              <w:left w:val="single" w:color="A0B4C8" w:sz="1"/>
              <w:bottom w:val="single" w:color="A0B4C8" w:sz="1"/>
              <w:right w:val="single" w:color="A0B4C8"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$200,000</w:t>
            </w:r>
          </w:p>
        </w:tc>
        <w:tc>
          <w:tcPr>
            <w:tcW w:type="dxa" w:w="2320"/>
            <w:tcBorders>
              <w:top w:val="single" w:color="A0B4C8" w:sz="1"/>
              <w:left w:val="single" w:color="A0B4C8" w:sz="1"/>
              <w:bottom w:val="single" w:color="A0B4C8" w:sz="1"/>
              <w:right w:val="single" w:color="A0B4C8"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$140,000 (30% depreciated)</w:t>
            </w:r>
          </w:p>
        </w:tc>
        <w:tc>
          <w:tcPr>
            <w:tcW w:type="dxa" w:w="2320"/>
            <w:tcBorders>
              <w:top w:val="single" w:color="A0B4C8" w:sz="1"/>
              <w:left w:val="single" w:color="A0B4C8" w:sz="1"/>
              <w:bottom w:val="single" w:color="A0B4C8" w:sz="1"/>
              <w:right w:val="single" w:color="A0B4C8"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$200,000</w:t>
            </w:r>
          </w:p>
        </w:tc>
      </w:tr>
      <w:tr>
        <w:tc>
          <w:tcPr>
            <w:tcW w:type="dxa" w:w="2400"/>
            <w:tcBorders>
              <w:top w:val="single" w:color="A0B4C8" w:sz="1"/>
              <w:left w:val="single" w:color="A0B4C8" w:sz="1"/>
              <w:bottom w:val="single" w:color="A0B4C8" w:sz="1"/>
              <w:right w:val="single" w:color="A0B4C8" w:sz="1"/>
            </w:tcBorders>
            <w:shd w:fill="EAF0F5" w:val="clear"/>
            <w:tcMar>
              <w:top w:type="dxa" w:w="80"/>
              <w:left w:type="dxa" w:w="140"/>
              <w:bottom w:type="dxa" w:w="80"/>
              <w:right w:type="dxa" w:w="140"/>
            </w:tcMar>
          </w:tcPr>
          <w:p>
            <w:pPr>
              <w:spacing w:after="0" w:before="0"/>
            </w:pPr>
            <w:r>
              <w:rPr>
                <w:rFonts w:ascii="Arial" w:cs="Arial" w:eastAsia="Arial" w:hAnsi="Arial"/>
                <w:b/>
                <w:bCs/>
                <w:color w:val="141C28"/>
                <w:sz w:val="19"/>
                <w:szCs w:val="19"/>
              </w:rPr>
              <w:t xml:space="preserve">Clothing and wardrobe (varies)</w:t>
            </w:r>
          </w:p>
        </w:tc>
        <w:tc>
          <w:tcPr>
            <w:tcW w:type="dxa" w:w="2320"/>
            <w:tcBorders>
              <w:top w:val="single" w:color="A0B4C8" w:sz="1"/>
              <w:left w:val="single" w:color="A0B4C8" w:sz="1"/>
              <w:bottom w:val="single" w:color="A0B4C8" w:sz="1"/>
              <w:right w:val="single" w:color="A0B4C8" w:sz="1"/>
            </w:tcBorders>
            <w:shd w:fill="EAF0F5"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$8,000</w:t>
            </w:r>
          </w:p>
        </w:tc>
        <w:tc>
          <w:tcPr>
            <w:tcW w:type="dxa" w:w="2320"/>
            <w:tcBorders>
              <w:top w:val="single" w:color="A0B4C8" w:sz="1"/>
              <w:left w:val="single" w:color="A0B4C8" w:sz="1"/>
              <w:bottom w:val="single" w:color="A0B4C8" w:sz="1"/>
              <w:right w:val="single" w:color="A0B4C8" w:sz="1"/>
            </w:tcBorders>
            <w:shd w:fill="EAF0F5"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$2,000–$3,000 (high depr.)</w:t>
            </w:r>
          </w:p>
        </w:tc>
        <w:tc>
          <w:tcPr>
            <w:tcW w:type="dxa" w:w="2320"/>
            <w:tcBorders>
              <w:top w:val="single" w:color="A0B4C8" w:sz="1"/>
              <w:left w:val="single" w:color="A0B4C8" w:sz="1"/>
              <w:bottom w:val="single" w:color="A0B4C8" w:sz="1"/>
              <w:right w:val="single" w:color="A0B4C8" w:sz="1"/>
            </w:tcBorders>
            <w:shd w:fill="EAF0F5"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$8,000</w:t>
            </w:r>
          </w:p>
        </w:tc>
      </w:tr>
    </w:tbl>
    <w:p>
      <w:pPr>
        <w:spacing w:after="0" w:before="120"/>
      </w:pPr>
      <w:r>
        <w:rPr>
          <w:rFonts w:ascii="Arial" w:cs="Arial" w:eastAsia="Arial" w:hAnsi="Arial"/>
        </w:rPr>
        <w:t xml:space="preserve"/>
      </w:r>
    </w:p>
    <w:p>
      <w:pPr>
        <w:pBdr>
          <w:bottom w:val="single" w:color="AABCCC" w:sz="4" w:space="4"/>
        </w:pBdr>
        <w:spacing w:after="80" w:before="220"/>
      </w:pPr>
      <w:r>
        <w:rPr>
          <w:rFonts w:ascii="Arial" w:cs="Arial" w:eastAsia="Arial" w:hAnsi="Arial"/>
          <w:b/>
          <w:bCs/>
          <w:color w:val="1A2E48"/>
          <w:sz w:val="24"/>
          <w:szCs w:val="24"/>
        </w:rPr>
        <w:t xml:space="preserve">The Two-Step RC Payment Process</w:t>
      </w:r>
    </w:p>
    <w:p>
      <w:pPr>
        <w:spacing w:after="110" w:before="80"/>
      </w:pPr>
      <w:r>
        <w:rPr>
          <w:rFonts w:ascii="Arial" w:cs="Arial" w:eastAsia="Arial" w:hAnsi="Arial"/>
          <w:color w:val="141C28"/>
          <w:sz w:val="22"/>
          <w:szCs w:val="22"/>
        </w:rPr>
        <w:t xml:space="preserve">For dwelling claims (Coverage A), many replacement cost policies pay the claim in two steps: (1) an initial ACV payment when the damage is assessed, and (2) a recovery payment of the withheld depreciation after the repair or replacement is actually completed. This two-step process ensures that replacement cost payments go toward actual replacement and are not simply pocketed by the policyholder.</w:t>
      </w:r>
    </w:p>
    <w:p>
      <w:pPr>
        <w:spacing w:after="0" w:before="80"/>
      </w:pPr>
      <w:r>
        <w:rPr>
          <w:rFonts w:ascii="Arial" w:cs="Arial" w:eastAsia="Arial" w:hAnsi="Arial"/>
        </w:rPr>
        <w:t xml:space="preserve"/>
      </w:r>
    </w:p>
    <w:p>
      <w:pPr>
        <w:spacing w:after="110" w:before="80"/>
      </w:pPr>
      <w:r>
        <w:rPr>
          <w:rFonts w:ascii="Arial" w:cs="Arial" w:eastAsia="Arial" w:hAnsi="Arial"/>
          <w:color w:val="141C28"/>
          <w:sz w:val="22"/>
          <w:szCs w:val="22"/>
        </w:rPr>
        <w:t xml:space="preserve">Homeowners must typically complete repairs within a defined time period (often 12–24 months) to receive the depreciation recovery payment. Failing to make repairs and claim the depreciation recovery within the specified period results in the settlement being finalized at the ACV amount.</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B1A1A" w:sz="18"/>
              <w:bottom w:val="none" w:color="FFFFFF" w:sz="0"/>
              <w:right w:val="none" w:color="FFFFFF" w:sz="0"/>
            </w:tcBorders>
            <w:shd w:fill="FDF0F0" w:val="clear"/>
            <w:tcMar>
              <w:top w:type="dxa" w:w="110"/>
              <w:left w:type="dxa" w:w="200"/>
              <w:bottom w:type="dxa" w:w="110"/>
              <w:right w:type="dxa" w:w="160"/>
            </w:tcMar>
          </w:tcPr>
          <w:p>
            <w:pPr>
              <w:spacing w:after="60" w:before="0"/>
            </w:pPr>
            <w:r>
              <w:rPr>
                <w:rFonts w:ascii="Arial" w:cs="Arial" w:eastAsia="Arial" w:hAnsi="Arial"/>
                <w:b/>
                <w:bCs/>
                <w:caps/>
                <w:color w:val="8B1A1A"/>
                <w:sz w:val="19"/>
                <w:szCs w:val="19"/>
              </w:rPr>
              <w:t xml:space="preserve">ACV Coverage Leaves a Dangerous Gap</w:t>
            </w:r>
          </w:p>
          <w:p>
            <w:pPr>
              <w:spacing w:after="0" w:before="0"/>
            </w:pPr>
            <w:r>
              <w:rPr>
                <w:rFonts w:ascii="Arial" w:cs="Arial" w:eastAsia="Arial" w:hAnsi="Arial"/>
                <w:color w:val="5A1010"/>
                <w:sz w:val="20"/>
                <w:szCs w:val="20"/>
              </w:rPr>
              <w:t xml:space="preserve">A homeowner with a 15-year-old home and ACV coverage on the dwelling may face a gap of 20–30% between the ACV payout and the actual repair cost on a major loss. On a $300,000 rebuild, that gap is $60,000–90,000 — money the homeowner must pay out of pocket. Always confirm your dwelling coverage is written on a replacement cost basis.</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A2E48" w:val="clear"/>
            <w:tcMar>
              <w:top w:type="dxa" w:w="160"/>
              <w:left w:type="dxa" w:w="240"/>
              <w:bottom w:type="dxa" w:w="160"/>
              <w:right w:type="dxa" w:w="240"/>
            </w:tcMar>
          </w:tcPr>
          <w:p>
            <w:pPr>
              <w:spacing w:after="0" w:before="0"/>
            </w:pPr>
            <w:r>
              <w:rPr>
                <w:rFonts w:ascii="Arial" w:cs="Arial" w:eastAsia="Arial" w:hAnsi="Arial"/>
                <w:b/>
                <w:bCs/>
                <w:color w:val="AABCCC"/>
                <w:sz w:val="28"/>
                <w:szCs w:val="28"/>
              </w:rPr>
              <w:t xml:space="preserve">9.  </w:t>
            </w:r>
            <w:r>
              <w:rPr>
                <w:rFonts w:ascii="Arial" w:cs="Arial" w:eastAsia="Arial" w:hAnsi="Arial"/>
                <w:b/>
                <w:bCs/>
                <w:color w:val="FFFFFF"/>
                <w:sz w:val="28"/>
                <w:szCs w:val="28"/>
              </w:rPr>
              <w:t xml:space="preserve">Extended Replacement Cost Coverage</w:t>
            </w:r>
          </w:p>
        </w:tc>
      </w:tr>
    </w:tbl>
    <w:p>
      <w:pPr>
        <w:spacing w:after="0" w:before="100"/>
      </w:pPr>
      <w:r>
        <w:rPr>
          <w:rFonts w:ascii="Arial" w:cs="Arial" w:eastAsia="Arial" w:hAnsi="Arial"/>
        </w:rPr>
        <w:t xml:space="preserve"/>
      </w:r>
    </w:p>
    <w:p>
      <w:pPr>
        <w:spacing w:after="110" w:before="80"/>
      </w:pPr>
      <w:r>
        <w:rPr>
          <w:rFonts w:ascii="Arial" w:cs="Arial" w:eastAsia="Arial" w:hAnsi="Arial"/>
          <w:color w:val="141C28"/>
          <w:sz w:val="22"/>
          <w:szCs w:val="22"/>
        </w:rPr>
        <w:t xml:space="preserve">Standard replacement cost coverage pays up to the Coverage A policy limit to rebuild the home. Extended replacement cost coverage (ERC) goes one step further: it pays to rebuild the home even if the actual cost exceeds the Coverage A limit by a specified percentage — typically 20%, 25%, 50%, or sometimes unlimited (guaranteed replacement cost). This protection is specifically designed to address the gap created by underinsurance and unexpected construction cost increases.</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A0B4C8" w:sz="1"/>
              <w:left w:val="single" w:color="A0B4C8" w:sz="1"/>
              <w:bottom w:val="single" w:color="A0B4C8" w:sz="1"/>
              <w:right w:val="single" w:color="A0B4C8" w:sz="1"/>
            </w:tcBorders>
            <w:shd w:fill="EAF0F5" w:val="clear"/>
            <w:tcMar>
              <w:top w:type="dxa" w:w="110"/>
              <w:left w:type="dxa" w:w="160"/>
              <w:bottom w:type="dxa" w:w="110"/>
              <w:right w:type="dxa" w:w="160"/>
            </w:tcMar>
          </w:tcPr>
          <w:p>
            <w:pPr>
              <w:spacing w:after="60" w:before="0"/>
            </w:pPr>
            <w:r>
              <w:rPr>
                <w:rFonts w:ascii="Arial" w:cs="Arial" w:eastAsia="Arial" w:hAnsi="Arial"/>
                <w:b/>
                <w:bCs/>
                <w:color w:val="2A4468"/>
                <w:sz w:val="19"/>
                <w:szCs w:val="19"/>
              </w:rPr>
              <w:t xml:space="preserve">Why Extended Replacement Cost Exists</w:t>
            </w:r>
          </w:p>
          <w:p>
            <w:pPr>
              <w:spacing w:after="0" w:before="0"/>
            </w:pPr>
            <w:r>
              <w:rPr>
                <w:rFonts w:ascii="Arial" w:cs="Arial" w:eastAsia="Arial" w:hAnsi="Arial"/>
                <w:color w:val="2C3848"/>
                <w:sz w:val="20"/>
                <w:szCs w:val="20"/>
              </w:rPr>
              <w:t xml:space="preserve">Construction costs can increase dramatically in a short period, particularly after major disasters when labor and materials are in high demand across a wide area. A homeowner whose Coverage A limit reflected replacement cost at the time of policy purchase may find that the cost to actually rebuild has increased significantly by the time the claim occurs.</w:t>
            </w:r>
          </w:p>
        </w:tc>
        <w:tc>
          <w:tcPr>
            <w:tcW w:type="dxa" w:w="4620"/>
            <w:tcBorders>
              <w:top w:val="single" w:color="A0B4C8" w:sz="1"/>
              <w:left w:val="single" w:color="A0B4C8" w:sz="1"/>
              <w:bottom w:val="single" w:color="A0B4C8" w:sz="1"/>
              <w:right w:val="single" w:color="A0B4C8" w:sz="1"/>
            </w:tcBorders>
            <w:shd w:fill="EAF0F5" w:val="clear"/>
            <w:tcMar>
              <w:top w:type="dxa" w:w="110"/>
              <w:left w:type="dxa" w:w="160"/>
              <w:bottom w:type="dxa" w:w="110"/>
              <w:right w:type="dxa" w:w="160"/>
            </w:tcMar>
          </w:tcPr>
          <w:p>
            <w:pPr>
              <w:spacing w:after="60" w:before="0"/>
            </w:pPr>
            <w:r>
              <w:rPr>
                <w:rFonts w:ascii="Arial" w:cs="Arial" w:eastAsia="Arial" w:hAnsi="Arial"/>
                <w:b/>
                <w:bCs/>
                <w:color w:val="2A4468"/>
                <w:sz w:val="19"/>
                <w:szCs w:val="19"/>
              </w:rPr>
              <w:t xml:space="preserve">How ERC Works</w:t>
            </w:r>
          </w:p>
          <w:p>
            <w:pPr>
              <w:spacing w:after="0" w:before="0"/>
            </w:pPr>
            <w:r>
              <w:rPr>
                <w:rFonts w:ascii="Arial" w:cs="Arial" w:eastAsia="Arial" w:hAnsi="Arial"/>
                <w:color w:val="2C3848"/>
                <w:sz w:val="20"/>
                <w:szCs w:val="20"/>
              </w:rPr>
              <w:t xml:space="preserve">An ERC endorsement provides an additional cushion above the Coverage A limit. A 25% ERC endorsement on a $400,000 Coverage A limit means the insurer will pay up to $500,000 to rebuild the home if costs have increased beyond the stated limit. The additional 25% is the extended replacement cost buffer.</w:t>
            </w:r>
          </w:p>
        </w:tc>
      </w:tr>
      <w:tr>
        <w:tc>
          <w:tcPr>
            <w:tcW w:type="dxa" w:w="4620"/>
            <w:tcBorders>
              <w:top w:val="single" w:color="A0B4C8" w:sz="1"/>
              <w:left w:val="single" w:color="A0B4C8" w:sz="1"/>
              <w:bottom w:val="single" w:color="A0B4C8" w:sz="1"/>
              <w:right w:val="single" w:color="A0B4C8" w:sz="1"/>
            </w:tcBorders>
            <w:shd w:fill="EAF0F5" w:val="clear"/>
            <w:tcMar>
              <w:top w:type="dxa" w:w="110"/>
              <w:left w:type="dxa" w:w="160"/>
              <w:bottom w:type="dxa" w:w="110"/>
              <w:right w:type="dxa" w:w="160"/>
            </w:tcMar>
          </w:tcPr>
          <w:p>
            <w:pPr>
              <w:spacing w:after="60" w:before="0"/>
            </w:pPr>
            <w:r>
              <w:rPr>
                <w:rFonts w:ascii="Arial" w:cs="Arial" w:eastAsia="Arial" w:hAnsi="Arial"/>
                <w:b/>
                <w:bCs/>
                <w:color w:val="2A4468"/>
                <w:sz w:val="19"/>
                <w:szCs w:val="19"/>
              </w:rPr>
              <w:t xml:space="preserve">Guaranteed Replacement Cost</w:t>
            </w:r>
          </w:p>
          <w:p>
            <w:pPr>
              <w:spacing w:after="0" w:before="0"/>
            </w:pPr>
            <w:r>
              <w:rPr>
                <w:rFonts w:ascii="Arial" w:cs="Arial" w:eastAsia="Arial" w:hAnsi="Arial"/>
                <w:color w:val="2C3848"/>
                <w:sz w:val="20"/>
                <w:szCs w:val="20"/>
              </w:rPr>
              <w:t xml:space="preserve">The strongest form of replacement cost coverage: the insurer agrees to pay the full cost to rebuild the home to its original specifications regardless of the Coverage A limit, with no cap on the overage. Guaranteed replacement cost is the most comprehensive protection against underinsurance but is available from only a limited number of carriers.</w:t>
            </w:r>
          </w:p>
        </w:tc>
        <w:tc>
          <w:tcPr>
            <w:tcW w:type="dxa" w:w="4620"/>
            <w:tcBorders>
              <w:top w:val="single" w:color="A0B4C8" w:sz="1"/>
              <w:left w:val="single" w:color="A0B4C8" w:sz="1"/>
              <w:bottom w:val="single" w:color="A0B4C8" w:sz="1"/>
              <w:right w:val="single" w:color="A0B4C8" w:sz="1"/>
            </w:tcBorders>
            <w:shd w:fill="EAF0F5" w:val="clear"/>
            <w:tcMar>
              <w:top w:type="dxa" w:w="110"/>
              <w:left w:type="dxa" w:w="160"/>
              <w:bottom w:type="dxa" w:w="110"/>
              <w:right w:type="dxa" w:w="160"/>
            </w:tcMar>
          </w:tcPr>
          <w:p>
            <w:pPr>
              <w:spacing w:after="60" w:before="0"/>
            </w:pPr>
            <w:r>
              <w:rPr>
                <w:rFonts w:ascii="Arial" w:cs="Arial" w:eastAsia="Arial" w:hAnsi="Arial"/>
                <w:b/>
                <w:bCs/>
                <w:color w:val="2A4468"/>
                <w:sz w:val="19"/>
                <w:szCs w:val="19"/>
              </w:rPr>
              <w:t xml:space="preserve">Inflation Guard Endorsement</w:t>
            </w:r>
          </w:p>
          <w:p>
            <w:pPr>
              <w:spacing w:after="0" w:before="0"/>
            </w:pPr>
            <w:r>
              <w:rPr>
                <w:rFonts w:ascii="Arial" w:cs="Arial" w:eastAsia="Arial" w:hAnsi="Arial"/>
                <w:color w:val="2C3848"/>
                <w:sz w:val="20"/>
                <w:szCs w:val="20"/>
              </w:rPr>
              <w:t xml:space="preserve">A complementary coverage that automatically adjusts the Coverage A limit each year by a specified percentage (often 4–8%) to keep pace with construction cost inflation. This prevents the Coverage A limit from gradually falling behind actual replacement cost, reducing the likelihood that ERC overage protection needs to be activated.</w:t>
            </w:r>
          </w:p>
        </w:tc>
      </w:tr>
    </w:tbl>
    <w:p>
      <w:pPr>
        <w:spacing w:after="0" w:before="100"/>
      </w:pPr>
      <w:r>
        <w:rPr>
          <w:rFonts w:ascii="Arial" w:cs="Arial" w:eastAsia="Arial" w:hAnsi="Arial"/>
        </w:rPr>
        <w:t xml:space="preserve"/>
      </w:r>
    </w:p>
    <w:p>
      <w:pPr>
        <w:pBdr>
          <w:bottom w:val="single" w:color="AABCCC" w:sz="4" w:space="4"/>
        </w:pBdr>
        <w:spacing w:after="80" w:before="220"/>
      </w:pPr>
      <w:r>
        <w:rPr>
          <w:rFonts w:ascii="Arial" w:cs="Arial" w:eastAsia="Arial" w:hAnsi="Arial"/>
          <w:b/>
          <w:bCs/>
          <w:color w:val="1A2E48"/>
          <w:sz w:val="24"/>
          <w:szCs w:val="24"/>
        </w:rPr>
        <w:t xml:space="preserve">Types of Extended Coverage by Protection Level</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2480"/>
        <w:gridCol w:w="2480"/>
        <w:gridCol w:w="2000"/>
      </w:tblGrid>
      <w:tr>
        <w:tc>
          <w:tcPr>
            <w:tcW w:type="dxa" w:w="2400"/>
            <w:tcBorders>
              <w:top w:val="none" w:color="FFFFFF" w:sz="0"/>
              <w:left w:val="none" w:color="FFFFFF" w:sz="0"/>
              <w:bottom w:val="none" w:color="FFFFFF" w:sz="0"/>
              <w:right w:val="none" w:color="FFFFFF" w:sz="0"/>
            </w:tcBorders>
            <w:shd w:fill="1E2C3A"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Coverage Type</w:t>
            </w:r>
          </w:p>
        </w:tc>
        <w:tc>
          <w:tcPr>
            <w:tcW w:type="dxa" w:w="2480"/>
            <w:tcBorders>
              <w:top w:val="none" w:color="FFFFFF" w:sz="0"/>
              <w:left w:val="none" w:color="FFFFFF" w:sz="0"/>
              <w:bottom w:val="none" w:color="FFFFFF" w:sz="0"/>
              <w:right w:val="none" w:color="FFFFFF" w:sz="0"/>
            </w:tcBorders>
            <w:shd w:fill="2A4468"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Protection Level</w:t>
            </w:r>
          </w:p>
        </w:tc>
        <w:tc>
          <w:tcPr>
            <w:tcW w:type="dxa" w:w="2480"/>
            <w:tcBorders>
              <w:top w:val="none" w:color="FFFFFF" w:sz="0"/>
              <w:left w:val="none" w:color="FFFFFF" w:sz="0"/>
              <w:bottom w:val="none" w:color="FFFFFF" w:sz="0"/>
              <w:right w:val="none" w:color="FFFFFF" w:sz="0"/>
            </w:tcBorders>
            <w:shd w:fill="2A4468"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How It Works</w:t>
            </w:r>
          </w:p>
        </w:tc>
        <w:tc>
          <w:tcPr>
            <w:tcW w:type="dxa" w:w="2000"/>
            <w:tcBorders>
              <w:top w:val="none" w:color="FFFFFF" w:sz="0"/>
              <w:left w:val="none" w:color="FFFFFF" w:sz="0"/>
              <w:bottom w:val="none" w:color="FFFFFF" w:sz="0"/>
              <w:right w:val="none" w:color="FFFFFF" w:sz="0"/>
            </w:tcBorders>
            <w:shd w:fill="2A4468"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Best For</w:t>
            </w:r>
          </w:p>
        </w:tc>
      </w:tr>
      <w:tr>
        <w:tc>
          <w:tcPr>
            <w:tcW w:type="dxa" w:w="2400"/>
            <w:tcBorders>
              <w:top w:val="single" w:color="A0B4C8" w:sz="1"/>
              <w:left w:val="single" w:color="A0B4C8" w:sz="1"/>
              <w:bottom w:val="single" w:color="A0B4C8" w:sz="1"/>
              <w:right w:val="single" w:color="A0B4C8" w:sz="1"/>
            </w:tcBorders>
            <w:shd w:fill="FFFFFF" w:val="clear"/>
            <w:tcMar>
              <w:top w:type="dxa" w:w="80"/>
              <w:left w:type="dxa" w:w="160"/>
              <w:bottom w:type="dxa" w:w="80"/>
              <w:right w:type="dxa" w:w="160"/>
            </w:tcMar>
          </w:tcPr>
          <w:p>
            <w:pPr>
              <w:spacing w:after="0" w:before="0"/>
            </w:pPr>
            <w:r>
              <w:rPr>
                <w:rFonts w:ascii="Arial" w:cs="Arial" w:eastAsia="Arial" w:hAnsi="Arial"/>
                <w:b/>
                <w:bCs/>
                <w:color w:val="141C28"/>
                <w:sz w:val="20"/>
                <w:szCs w:val="20"/>
              </w:rPr>
              <w:t xml:space="preserve">Standard Replacement Cost</w:t>
            </w:r>
          </w:p>
        </w:tc>
        <w:tc>
          <w:tcPr>
            <w:tcW w:type="dxa" w:w="2480"/>
            <w:tcBorders>
              <w:top w:val="single" w:color="A0B4C8" w:sz="1"/>
              <w:left w:val="single" w:color="A0B4C8" w:sz="1"/>
              <w:bottom w:val="single" w:color="A0B4C8" w:sz="1"/>
              <w:right w:val="single" w:color="A0B4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Pays up to Coverage A limit</w:t>
            </w:r>
          </w:p>
        </w:tc>
        <w:tc>
          <w:tcPr>
            <w:tcW w:type="dxa" w:w="2480"/>
            <w:tcBorders>
              <w:top w:val="single" w:color="A0B4C8" w:sz="1"/>
              <w:left w:val="single" w:color="A0B4C8" w:sz="1"/>
              <w:bottom w:val="single" w:color="A0B4C8" w:sz="1"/>
              <w:right w:val="single" w:color="A0B4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Full rebuild cost up to stated limit; no extra</w:t>
            </w:r>
          </w:p>
        </w:tc>
        <w:tc>
          <w:tcPr>
            <w:tcW w:type="dxa" w:w="2000"/>
            <w:tcBorders>
              <w:top w:val="single" w:color="A0B4C8" w:sz="1"/>
              <w:left w:val="single" w:color="A0B4C8" w:sz="1"/>
              <w:bottom w:val="single" w:color="A0B4C8" w:sz="1"/>
              <w:right w:val="single" w:color="A0B4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New or recently valued homes with accurate limits</w:t>
            </w:r>
          </w:p>
        </w:tc>
      </w:tr>
      <w:tr>
        <w:tc>
          <w:tcPr>
            <w:tcW w:type="dxa" w:w="2400"/>
            <w:tcBorders>
              <w:top w:val="single" w:color="A0B4C8" w:sz="1"/>
              <w:left w:val="single" w:color="A0B4C8" w:sz="1"/>
              <w:bottom w:val="single" w:color="A0B4C8" w:sz="1"/>
              <w:right w:val="single" w:color="A0B4C8" w:sz="1"/>
            </w:tcBorders>
            <w:shd w:fill="EAF0F5" w:val="clear"/>
            <w:tcMar>
              <w:top w:type="dxa" w:w="80"/>
              <w:left w:type="dxa" w:w="160"/>
              <w:bottom w:type="dxa" w:w="80"/>
              <w:right w:type="dxa" w:w="160"/>
            </w:tcMar>
          </w:tcPr>
          <w:p>
            <w:pPr>
              <w:spacing w:after="0" w:before="0"/>
            </w:pPr>
            <w:r>
              <w:rPr>
                <w:rFonts w:ascii="Arial" w:cs="Arial" w:eastAsia="Arial" w:hAnsi="Arial"/>
                <w:b/>
                <w:bCs/>
                <w:color w:val="141C28"/>
                <w:sz w:val="20"/>
                <w:szCs w:val="20"/>
              </w:rPr>
              <w:t xml:space="preserve">Extended RC (20–25%)</w:t>
            </w:r>
          </w:p>
        </w:tc>
        <w:tc>
          <w:tcPr>
            <w:tcW w:type="dxa" w:w="2480"/>
            <w:tcBorders>
              <w:top w:val="single" w:color="A0B4C8" w:sz="1"/>
              <w:left w:val="single" w:color="A0B4C8" w:sz="1"/>
              <w:bottom w:val="single" w:color="A0B4C8" w:sz="1"/>
              <w:right w:val="single" w:color="A0B4C8" w:sz="1"/>
            </w:tcBorders>
            <w:shd w:fill="EAF0F5"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Pays up to 120–125% of Coverage A limit</w:t>
            </w:r>
          </w:p>
        </w:tc>
        <w:tc>
          <w:tcPr>
            <w:tcW w:type="dxa" w:w="2480"/>
            <w:tcBorders>
              <w:top w:val="single" w:color="A0B4C8" w:sz="1"/>
              <w:left w:val="single" w:color="A0B4C8" w:sz="1"/>
              <w:bottom w:val="single" w:color="A0B4C8" w:sz="1"/>
              <w:right w:val="single" w:color="A0B4C8" w:sz="1"/>
            </w:tcBorders>
            <w:shd w:fill="EAF0F5"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25% buffer above stated limit</w:t>
            </w:r>
          </w:p>
        </w:tc>
        <w:tc>
          <w:tcPr>
            <w:tcW w:type="dxa" w:w="2000"/>
            <w:tcBorders>
              <w:top w:val="single" w:color="A0B4C8" w:sz="1"/>
              <w:left w:val="single" w:color="A0B4C8" w:sz="1"/>
              <w:bottom w:val="single" w:color="A0B4C8" w:sz="1"/>
              <w:right w:val="single" w:color="A0B4C8" w:sz="1"/>
            </w:tcBorders>
            <w:shd w:fill="EAF0F5"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Most homeowners as a reasonable buffer</w:t>
            </w:r>
          </w:p>
        </w:tc>
      </w:tr>
      <w:tr>
        <w:tc>
          <w:tcPr>
            <w:tcW w:type="dxa" w:w="2400"/>
            <w:tcBorders>
              <w:top w:val="single" w:color="A0B4C8" w:sz="1"/>
              <w:left w:val="single" w:color="A0B4C8" w:sz="1"/>
              <w:bottom w:val="single" w:color="A0B4C8" w:sz="1"/>
              <w:right w:val="single" w:color="A0B4C8" w:sz="1"/>
            </w:tcBorders>
            <w:shd w:fill="FFFFFF" w:val="clear"/>
            <w:tcMar>
              <w:top w:type="dxa" w:w="80"/>
              <w:left w:type="dxa" w:w="160"/>
              <w:bottom w:type="dxa" w:w="80"/>
              <w:right w:type="dxa" w:w="160"/>
            </w:tcMar>
          </w:tcPr>
          <w:p>
            <w:pPr>
              <w:spacing w:after="0" w:before="0"/>
            </w:pPr>
            <w:r>
              <w:rPr>
                <w:rFonts w:ascii="Arial" w:cs="Arial" w:eastAsia="Arial" w:hAnsi="Arial"/>
                <w:b/>
                <w:bCs/>
                <w:color w:val="141C28"/>
                <w:sz w:val="20"/>
                <w:szCs w:val="20"/>
              </w:rPr>
              <w:t xml:space="preserve">Extended RC (50%)</w:t>
            </w:r>
          </w:p>
        </w:tc>
        <w:tc>
          <w:tcPr>
            <w:tcW w:type="dxa" w:w="2480"/>
            <w:tcBorders>
              <w:top w:val="single" w:color="A0B4C8" w:sz="1"/>
              <w:left w:val="single" w:color="A0B4C8" w:sz="1"/>
              <w:bottom w:val="single" w:color="A0B4C8" w:sz="1"/>
              <w:right w:val="single" w:color="A0B4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Pays up to 150% of Coverage A limit</w:t>
            </w:r>
          </w:p>
        </w:tc>
        <w:tc>
          <w:tcPr>
            <w:tcW w:type="dxa" w:w="2480"/>
            <w:tcBorders>
              <w:top w:val="single" w:color="A0B4C8" w:sz="1"/>
              <w:left w:val="single" w:color="A0B4C8" w:sz="1"/>
              <w:bottom w:val="single" w:color="A0B4C8" w:sz="1"/>
              <w:right w:val="single" w:color="A0B4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50% buffer for significant underinsurance gaps</w:t>
            </w:r>
          </w:p>
        </w:tc>
        <w:tc>
          <w:tcPr>
            <w:tcW w:type="dxa" w:w="2000"/>
            <w:tcBorders>
              <w:top w:val="single" w:color="A0B4C8" w:sz="1"/>
              <w:left w:val="single" w:color="A0B4C8" w:sz="1"/>
              <w:bottom w:val="single" w:color="A0B4C8" w:sz="1"/>
              <w:right w:val="single" w:color="A0B4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Older homes; markets with high cost volatility</w:t>
            </w:r>
          </w:p>
        </w:tc>
      </w:tr>
      <w:tr>
        <w:tc>
          <w:tcPr>
            <w:tcW w:type="dxa" w:w="2400"/>
            <w:tcBorders>
              <w:top w:val="single" w:color="A0B4C8" w:sz="1"/>
              <w:left w:val="single" w:color="A0B4C8" w:sz="1"/>
              <w:bottom w:val="single" w:color="A0B4C8" w:sz="1"/>
              <w:right w:val="single" w:color="A0B4C8" w:sz="1"/>
            </w:tcBorders>
            <w:shd w:fill="EAF0F5" w:val="clear"/>
            <w:tcMar>
              <w:top w:type="dxa" w:w="80"/>
              <w:left w:type="dxa" w:w="160"/>
              <w:bottom w:type="dxa" w:w="80"/>
              <w:right w:type="dxa" w:w="160"/>
            </w:tcMar>
          </w:tcPr>
          <w:p>
            <w:pPr>
              <w:spacing w:after="0" w:before="0"/>
            </w:pPr>
            <w:r>
              <w:rPr>
                <w:rFonts w:ascii="Arial" w:cs="Arial" w:eastAsia="Arial" w:hAnsi="Arial"/>
                <w:b/>
                <w:bCs/>
                <w:color w:val="141C28"/>
                <w:sz w:val="20"/>
                <w:szCs w:val="20"/>
              </w:rPr>
              <w:t xml:space="preserve">Guaranteed Replacement Cost</w:t>
            </w:r>
          </w:p>
        </w:tc>
        <w:tc>
          <w:tcPr>
            <w:tcW w:type="dxa" w:w="2480"/>
            <w:tcBorders>
              <w:top w:val="single" w:color="A0B4C8" w:sz="1"/>
              <w:left w:val="single" w:color="A0B4C8" w:sz="1"/>
              <w:bottom w:val="single" w:color="A0B4C8" w:sz="1"/>
              <w:right w:val="single" w:color="A0B4C8" w:sz="1"/>
            </w:tcBorders>
            <w:shd w:fill="EAF0F5"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Pays full rebuild cost, no cap</w:t>
            </w:r>
          </w:p>
        </w:tc>
        <w:tc>
          <w:tcPr>
            <w:tcW w:type="dxa" w:w="2480"/>
            <w:tcBorders>
              <w:top w:val="single" w:color="A0B4C8" w:sz="1"/>
              <w:left w:val="single" w:color="A0B4C8" w:sz="1"/>
              <w:bottom w:val="single" w:color="A0B4C8" w:sz="1"/>
              <w:right w:val="single" w:color="A0B4C8" w:sz="1"/>
            </w:tcBorders>
            <w:shd w:fill="EAF0F5"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Unlimited coverage above stated limit</w:t>
            </w:r>
          </w:p>
        </w:tc>
        <w:tc>
          <w:tcPr>
            <w:tcW w:type="dxa" w:w="2000"/>
            <w:tcBorders>
              <w:top w:val="single" w:color="A0B4C8" w:sz="1"/>
              <w:left w:val="single" w:color="A0B4C8" w:sz="1"/>
              <w:bottom w:val="single" w:color="A0B4C8" w:sz="1"/>
              <w:right w:val="single" w:color="A0B4C8" w:sz="1"/>
            </w:tcBorders>
            <w:shd w:fill="EAF0F5"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Premium properties; historic homes; high-risk markets</w:t>
            </w:r>
          </w:p>
        </w:tc>
      </w:tr>
    </w:tbl>
    <w:p>
      <w:pPr>
        <w:spacing w:after="0" w:before="100"/>
      </w:pPr>
      <w:r>
        <w:rPr>
          <w:rFonts w:ascii="Arial" w:cs="Arial" w:eastAsia="Arial" w:hAnsi="Arial"/>
        </w:rPr>
        <w:t xml:space="preserve"/>
      </w:r>
    </w:p>
    <w:p>
      <w:pPr>
        <w:pBdr>
          <w:bottom w:val="single" w:color="AABCCC" w:sz="4" w:space="4"/>
        </w:pBdr>
        <w:spacing w:after="80" w:before="220"/>
      </w:pPr>
      <w:r>
        <w:rPr>
          <w:rFonts w:ascii="Arial" w:cs="Arial" w:eastAsia="Arial" w:hAnsi="Arial"/>
          <w:b/>
          <w:bCs/>
          <w:color w:val="1A2E48"/>
          <w:sz w:val="24"/>
          <w:szCs w:val="24"/>
        </w:rPr>
        <w:t xml:space="preserve">When Extended Replacement Cost Proves Its Value</w:t>
      </w:r>
    </w:p>
    <w:p>
      <w:pPr>
        <w:spacing w:after="110" w:before="80"/>
      </w:pPr>
      <w:r>
        <w:rPr>
          <w:rFonts w:ascii="Arial" w:cs="Arial" w:eastAsia="Arial" w:hAnsi="Arial"/>
          <w:color w:val="141C28"/>
          <w:sz w:val="22"/>
          <w:szCs w:val="22"/>
        </w:rPr>
        <w:t xml:space="preserve">Extended replacement cost coverage is most valuable in the aftermath of a widespread disaster — a major hurricane, wildfire, tornado, or winter storm — that damages many homes simultaneously. When hundreds or thousands of homes in a region need to be rebuilt at the same time, construction labor and materials prices surge dramatically due to demand. A homeowner whose Coverage A limit reflected normal construction costs may face rebuild costs 30–40% higher than anticipated after a regional disaster.</w:t>
      </w:r>
    </w:p>
    <w:p>
      <w:pPr>
        <w:spacing w:after="0" w:before="80"/>
      </w:pPr>
      <w:r>
        <w:rPr>
          <w:rFonts w:ascii="Arial" w:cs="Arial" w:eastAsia="Arial" w:hAnsi="Arial"/>
        </w:rPr>
        <w:t xml:space="preserve"/>
      </w:r>
    </w:p>
    <w:p>
      <w:pPr>
        <w:spacing w:after="110" w:before="80"/>
      </w:pPr>
      <w:r>
        <w:rPr>
          <w:rFonts w:ascii="Arial" w:cs="Arial" w:eastAsia="Arial" w:hAnsi="Arial"/>
          <w:color w:val="141C28"/>
          <w:sz w:val="22"/>
          <w:szCs w:val="22"/>
        </w:rPr>
        <w:t xml:space="preserve">The 2017 and 2018 California wildfires provided a stark illustration of this problem: many homeowners discovered that their Coverage A limits were far below actual rebuild costs due to a combination of pre-fire construction cost underestimation and post-fire construction cost surge. Homeowners with extended or guaranteed replacement cost coverage were made whole; those without were left with significant out-of-pocket expenses.</w:t>
      </w:r>
    </w:p>
    <w:p>
      <w:pPr>
        <w:spacing w:after="0" w:before="100"/>
      </w:pPr>
      <w:r>
        <w:rPr>
          <w:rFonts w:ascii="Arial" w:cs="Arial" w:eastAsia="Arial" w:hAnsi="Arial"/>
        </w:rPr>
        <w:t xml:space="preserve"/>
      </w:r>
    </w:p>
    <w:p>
      <w:pPr>
        <w:pBdr>
          <w:bottom w:val="single" w:color="AABCCC" w:sz="4" w:space="4"/>
        </w:pBdr>
        <w:spacing w:after="80" w:before="220"/>
      </w:pPr>
      <w:r>
        <w:rPr>
          <w:rFonts w:ascii="Arial" w:cs="Arial" w:eastAsia="Arial" w:hAnsi="Arial"/>
          <w:b/>
          <w:bCs/>
          <w:color w:val="1A2E48"/>
          <w:sz w:val="24"/>
          <w:szCs w:val="24"/>
        </w:rPr>
        <w:t xml:space="preserve">The Extended Replacement Cost Program</w:t>
      </w:r>
    </w:p>
    <w:p>
      <w:pPr>
        <w:spacing w:after="110" w:before="80"/>
      </w:pPr>
      <w:r>
        <w:rPr>
          <w:rFonts w:ascii="Arial" w:cs="Arial" w:eastAsia="Arial" w:hAnsi="Arial"/>
          <w:color w:val="141C28"/>
          <w:sz w:val="22"/>
          <w:szCs w:val="22"/>
        </w:rPr>
        <w:t xml:space="preserve">To qualify for extended or guaranteed replacement cost coverage, most insurers require that the Coverage A limit be set accurately at the time of policy inception using the insurer’s replacement cost estimator. Insurers offering guaranteed replacement cost protection do so on the premise that the starting point is accurate — they are providing protection against unexpected cost increases, not against a homeowner who deliberately underinsures to reduce their premium.</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0F4A58" w:sz="18"/>
              <w:bottom w:val="none" w:color="FFFFFF" w:sz="0"/>
              <w:right w:val="none" w:color="FFFFFF" w:sz="0"/>
            </w:tcBorders>
            <w:shd w:fill="E8F4F7" w:val="clear"/>
            <w:tcMar>
              <w:top w:type="dxa" w:w="110"/>
              <w:left w:type="dxa" w:w="200"/>
              <w:bottom w:type="dxa" w:w="110"/>
              <w:right w:type="dxa" w:w="160"/>
            </w:tcMar>
          </w:tcPr>
          <w:p>
            <w:pPr>
              <w:spacing w:after="60" w:before="0"/>
            </w:pPr>
            <w:r>
              <w:rPr>
                <w:rFonts w:ascii="Arial" w:cs="Arial" w:eastAsia="Arial" w:hAnsi="Arial"/>
                <w:b/>
                <w:bCs/>
                <w:caps/>
                <w:color w:val="0F4A58"/>
                <w:sz w:val="19"/>
                <w:szCs w:val="19"/>
              </w:rPr>
              <w:t xml:space="preserve">Extended RC in a Post-Disaster Scenario</w:t>
            </w:r>
          </w:p>
          <w:p>
            <w:pPr>
              <w:spacing w:after="0" w:before="0"/>
            </w:pPr>
            <w:r>
              <w:rPr>
                <w:rFonts w:ascii="Arial" w:cs="Arial" w:eastAsia="Arial" w:hAnsi="Arial"/>
                <w:color w:val="0A2830"/>
                <w:sz w:val="20"/>
                <w:szCs w:val="20"/>
              </w:rPr>
              <w:t xml:space="preserve">A homeowner has a $450,000 Coverage A limit with a 25% extended replacement cost endorsement (up to $562,500). Their home is destroyed in a regional wildfire. Due to the surge in contractor demand and materials costs, the actual rebuild cost is $520,000. Without the ERC endorsement, the insurer would pay only $450,000, leaving a $70,000 gap. With the 25% ERC endorsement, the full $520,000 is paid, and the home is rebuilt completely.</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A4468" w:sz="18"/>
              <w:bottom w:val="none" w:color="FFFFFF" w:sz="0"/>
              <w:right w:val="none" w:color="FFFFFF" w:sz="0"/>
            </w:tcBorders>
            <w:shd w:fill="EAF0F5" w:val="clear"/>
            <w:tcMar>
              <w:top w:type="dxa" w:w="110"/>
              <w:left w:type="dxa" w:w="200"/>
              <w:bottom w:type="dxa" w:w="110"/>
              <w:right w:type="dxa" w:w="160"/>
            </w:tcMar>
          </w:tcPr>
          <w:p>
            <w:pPr>
              <w:spacing w:after="0" w:before="0"/>
            </w:pPr>
            <w:r>
              <w:rPr>
                <w:rFonts w:ascii="Arial" w:cs="Arial" w:eastAsia="Arial" w:hAnsi="Arial"/>
                <w:b/>
                <w:bCs/>
                <w:color w:val="1A2E48"/>
                <w:sz w:val="20"/>
                <w:szCs w:val="20"/>
              </w:rPr>
              <w:t xml:space="preserve">Key Takeaway: </w:t>
            </w:r>
            <w:r>
              <w:rPr>
                <w:rFonts w:ascii="Arial" w:cs="Arial" w:eastAsia="Arial" w:hAnsi="Arial"/>
                <w:color w:val="2C3848"/>
                <w:sz w:val="20"/>
                <w:szCs w:val="20"/>
              </w:rPr>
              <w:t xml:space="preserve">Extended replacement cost coverage is one of the highest-value endorsements available in homeowners insurance. For the modest additional premium, it provides protection against one of the most common real-world reasons homeowners find their coverage inadequate: the gap between the policy limit and actual rebuild cost when disaster strikes.</w:t>
            </w:r>
          </w:p>
        </w:tc>
      </w:tr>
    </w:tbl>
    <w:p>
      <w:pPr>
        <w:spacing w:after="0" w:before="280"/>
      </w:pPr>
      <w:r>
        <w:rPr>
          <w:rFonts w:ascii="Arial" w:cs="Arial" w:eastAsia="Arial" w:hAnsi="Arial"/>
        </w:rPr>
        <w:t xml:space="preserve"/>
      </w:r>
    </w:p>
    <w:p>
      <w:pPr>
        <w:spacing w:after="100" w:before="0"/>
      </w:pPr>
      <w:r>
        <w:rPr>
          <w:rFonts w:ascii="Arial" w:cs="Arial" w:eastAsia="Arial" w:hAnsi="Arial"/>
          <w:b/>
          <w:bCs/>
          <w:caps/>
          <w:color w:val="2A4468"/>
          <w:sz w:val="22"/>
          <w:szCs w:val="22"/>
        </w:rPr>
        <w:t xml:space="preserve">HOW THE COVERAGES WORK TOGETHER</w:t>
      </w:r>
    </w:p>
    <w:p>
      <w:pPr>
        <w:spacing w:after="110" w:before="80"/>
      </w:pPr>
      <w:r>
        <w:rPr>
          <w:rFonts w:ascii="Arial" w:cs="Arial" w:eastAsia="Arial" w:hAnsi="Arial"/>
          <w:color w:val="141C28"/>
          <w:sz w:val="22"/>
          <w:szCs w:val="22"/>
        </w:rPr>
        <w:t xml:space="preserve">A complete homeowners insurance policy is not six separate coverages — it is an integrated financial protection system. Understanding how each coverage contributes to the whole helps homeowners make informed decisions about limits, endorsements, and the policy form they choose.</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7160"/>
      </w:tblGrid>
      <w:tr>
        <w:tc>
          <w:tcPr>
            <w:tcW w:type="dxa" w:w="2200"/>
            <w:tcBorders>
              <w:top w:val="none" w:color="FFFFFF" w:sz="0"/>
              <w:left w:val="none" w:color="FFFFFF" w:sz="0"/>
              <w:bottom w:val="none" w:color="FFFFFF" w:sz="0"/>
              <w:right w:val="none" w:color="FFFFFF" w:sz="0"/>
            </w:tcBorders>
            <w:shd w:fill="7A3018"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Personal Umbrella</w:t>
            </w:r>
          </w:p>
        </w:tc>
        <w:tc>
          <w:tcPr>
            <w:tcW w:type="dxa" w:w="7160"/>
            <w:tcBorders>
              <w:top w:val="single" w:color="A0B4C8" w:sz="1"/>
              <w:left w:val="single" w:color="A0B4C8" w:sz="1"/>
              <w:bottom w:val="single" w:color="A0B4C8" w:sz="1"/>
              <w:right w:val="single" w:color="A0B4C8" w:sz="1"/>
            </w:tcBorders>
            <w:shd w:fill="FDF4EF" w:val="clear"/>
            <w:tcMar>
              <w:top w:type="dxa" w:w="100"/>
              <w:left w:type="dxa" w:w="160"/>
              <w:bottom w:type="dxa" w:w="100"/>
              <w:right w:type="dxa" w:w="160"/>
            </w:tcMar>
          </w:tcPr>
          <w:p>
            <w:pPr>
              <w:spacing w:after="0" w:before="0"/>
            </w:pPr>
            <w:r>
              <w:rPr>
                <w:rFonts w:ascii="Arial" w:cs="Arial" w:eastAsia="Arial" w:hAnsi="Arial"/>
                <w:color w:val="2C3848"/>
                <w:sz w:val="20"/>
                <w:szCs w:val="20"/>
              </w:rPr>
              <w:t xml:space="preserve">Excess personal liability above Coverage E and auto policy limits. Provides $1M–5M in additional protection. Requires minimum Coverage E limits (typically $300,000) as the underlying foundation.</w:t>
            </w:r>
          </w:p>
        </w:tc>
      </w:tr>
      <w:tr>
        <w:tc>
          <w:tcPr>
            <w:tcW w:type="dxa" w:w="2200"/>
            <w:tcBorders>
              <w:top w:val="none" w:color="FFFFFF" w:sz="0"/>
              <w:left w:val="none" w:color="FFFFFF" w:sz="0"/>
              <w:bottom w:val="none" w:color="FFFFFF" w:sz="0"/>
              <w:right w:val="none" w:color="FFFFFF" w:sz="0"/>
            </w:tcBorders>
            <w:shd w:fill="1A2E48"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Coverage E
Personal Liability</w:t>
            </w:r>
          </w:p>
        </w:tc>
        <w:tc>
          <w:tcPr>
            <w:tcW w:type="dxa" w:w="7160"/>
            <w:tcBorders>
              <w:top w:val="single" w:color="A0B4C8" w:sz="1"/>
              <w:left w:val="single" w:color="A0B4C8" w:sz="1"/>
              <w:bottom w:val="single" w:color="A0B4C8" w:sz="1"/>
              <w:right w:val="single" w:color="A0B4C8" w:sz="1"/>
            </w:tcBorders>
            <w:shd w:fill="EAF0F5" w:val="clear"/>
            <w:tcMar>
              <w:top w:type="dxa" w:w="100"/>
              <w:left w:type="dxa" w:w="160"/>
              <w:bottom w:type="dxa" w:w="100"/>
              <w:right w:type="dxa" w:w="160"/>
            </w:tcMar>
          </w:tcPr>
          <w:p>
            <w:pPr>
              <w:spacing w:after="0" w:before="0"/>
            </w:pPr>
            <w:r>
              <w:rPr>
                <w:rFonts w:ascii="Arial" w:cs="Arial" w:eastAsia="Arial" w:hAnsi="Arial"/>
                <w:color w:val="2C3848"/>
                <w:sz w:val="20"/>
                <w:szCs w:val="20"/>
              </w:rPr>
              <w:t xml:space="preserve">Legal defense + damages for covered liability claims. Protects all assets from liability judgments. The liability foundation that the personal umbrella builds upon.</w:t>
            </w:r>
          </w:p>
        </w:tc>
      </w:tr>
      <w:tr>
        <w:tc>
          <w:tcPr>
            <w:tcW w:type="dxa" w:w="2200"/>
            <w:tcBorders>
              <w:top w:val="none" w:color="FFFFFF" w:sz="0"/>
              <w:left w:val="none" w:color="FFFFFF" w:sz="0"/>
              <w:bottom w:val="none" w:color="FFFFFF" w:sz="0"/>
              <w:right w:val="none" w:color="FFFFFF" w:sz="0"/>
            </w:tcBorders>
            <w:shd w:fill="2A4468"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Coverage D
Loss of Use</w:t>
            </w:r>
          </w:p>
        </w:tc>
        <w:tc>
          <w:tcPr>
            <w:tcW w:type="dxa" w:w="7160"/>
            <w:tcBorders>
              <w:top w:val="single" w:color="A0B4C8" w:sz="1"/>
              <w:left w:val="single" w:color="A0B4C8" w:sz="1"/>
              <w:bottom w:val="single" w:color="A0B4C8" w:sz="1"/>
              <w:right w:val="single" w:color="A0B4C8" w:sz="1"/>
            </w:tcBorders>
            <w:shd w:fill="FFFFFF" w:val="clear"/>
            <w:tcMar>
              <w:top w:type="dxa" w:w="100"/>
              <w:left w:type="dxa" w:w="160"/>
              <w:bottom w:type="dxa" w:w="100"/>
              <w:right w:type="dxa" w:w="160"/>
            </w:tcMar>
          </w:tcPr>
          <w:p>
            <w:pPr>
              <w:spacing w:after="0" w:before="0"/>
            </w:pPr>
            <w:r>
              <w:rPr>
                <w:rFonts w:ascii="Arial" w:cs="Arial" w:eastAsia="Arial" w:hAnsi="Arial"/>
                <w:color w:val="2C3848"/>
                <w:sz w:val="20"/>
                <w:szCs w:val="20"/>
              </w:rPr>
              <w:t xml:space="preserve">Additional living expenses during displacement from the home. Bridges the financial gap between a covered loss and return to the rebuilt or repaired home.</w:t>
            </w:r>
          </w:p>
        </w:tc>
      </w:tr>
      <w:tr>
        <w:tc>
          <w:tcPr>
            <w:tcW w:type="dxa" w:w="2200"/>
            <w:tcBorders>
              <w:top w:val="none" w:color="FFFFFF" w:sz="0"/>
              <w:left w:val="none" w:color="FFFFFF" w:sz="0"/>
              <w:bottom w:val="none" w:color="FFFFFF" w:sz="0"/>
              <w:right w:val="none" w:color="FFFFFF" w:sz="0"/>
            </w:tcBorders>
            <w:shd w:fill="7A3018"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Coverage C
Personal Property</w:t>
            </w:r>
          </w:p>
        </w:tc>
        <w:tc>
          <w:tcPr>
            <w:tcW w:type="dxa" w:w="7160"/>
            <w:tcBorders>
              <w:top w:val="single" w:color="A0B4C8" w:sz="1"/>
              <w:left w:val="single" w:color="A0B4C8" w:sz="1"/>
              <w:bottom w:val="single" w:color="A0B4C8" w:sz="1"/>
              <w:right w:val="single" w:color="A0B4C8" w:sz="1"/>
            </w:tcBorders>
            <w:shd w:fill="FDF4EF" w:val="clear"/>
            <w:tcMar>
              <w:top w:type="dxa" w:w="100"/>
              <w:left w:type="dxa" w:w="160"/>
              <w:bottom w:type="dxa" w:w="100"/>
              <w:right w:type="dxa" w:w="160"/>
            </w:tcMar>
          </w:tcPr>
          <w:p>
            <w:pPr>
              <w:spacing w:after="0" w:before="0"/>
            </w:pPr>
            <w:r>
              <w:rPr>
                <w:rFonts w:ascii="Arial" w:cs="Arial" w:eastAsia="Arial" w:hAnsi="Arial"/>
                <w:color w:val="2C3848"/>
                <w:sz w:val="20"/>
                <w:szCs w:val="20"/>
              </w:rPr>
              <w:t xml:space="preserve">All personal belongings. Requires replacement cost endorsement. High-value items need scheduled floaters. Home inventory essential for claims.</w:t>
            </w:r>
          </w:p>
        </w:tc>
      </w:tr>
      <w:tr>
        <w:tc>
          <w:tcPr>
            <w:tcW w:type="dxa" w:w="2200"/>
            <w:tcBorders>
              <w:top w:val="none" w:color="FFFFFF" w:sz="0"/>
              <w:left w:val="none" w:color="FFFFFF" w:sz="0"/>
              <w:bottom w:val="none" w:color="FFFFFF" w:sz="0"/>
              <w:right w:val="none" w:color="FFFFFF" w:sz="0"/>
            </w:tcBorders>
            <w:shd w:fill="9A4428"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Coverage B
Other Structures</w:t>
            </w:r>
          </w:p>
        </w:tc>
        <w:tc>
          <w:tcPr>
            <w:tcW w:type="dxa" w:w="7160"/>
            <w:tcBorders>
              <w:top w:val="single" w:color="A0B4C8" w:sz="1"/>
              <w:left w:val="single" w:color="A0B4C8" w:sz="1"/>
              <w:bottom w:val="single" w:color="A0B4C8" w:sz="1"/>
              <w:right w:val="single" w:color="A0B4C8" w:sz="1"/>
            </w:tcBorders>
            <w:shd w:fill="FFFFFF" w:val="clear"/>
            <w:tcMar>
              <w:top w:type="dxa" w:w="100"/>
              <w:left w:type="dxa" w:w="160"/>
              <w:bottom w:type="dxa" w:w="100"/>
              <w:right w:type="dxa" w:w="160"/>
            </w:tcMar>
          </w:tcPr>
          <w:p>
            <w:pPr>
              <w:spacing w:after="0" w:before="0"/>
            </w:pPr>
            <w:r>
              <w:rPr>
                <w:rFonts w:ascii="Arial" w:cs="Arial" w:eastAsia="Arial" w:hAnsi="Arial"/>
                <w:color w:val="2C3848"/>
                <w:sz w:val="20"/>
                <w:szCs w:val="20"/>
              </w:rPr>
              <w:t xml:space="preserve">Detached garage, fence, sheds, pool. Standard 10% of Coverage A. Increase if significant outbuildings exist. Not for rented or business-use structures.</w:t>
            </w:r>
          </w:p>
        </w:tc>
      </w:tr>
      <w:tr>
        <w:tc>
          <w:tcPr>
            <w:tcW w:type="dxa" w:w="2200"/>
            <w:tcBorders>
              <w:top w:val="none" w:color="FFFFFF" w:sz="0"/>
              <w:left w:val="none" w:color="FFFFFF" w:sz="0"/>
              <w:bottom w:val="none" w:color="FFFFFF" w:sz="0"/>
              <w:right w:val="none" w:color="FFFFFF" w:sz="0"/>
            </w:tcBorders>
            <w:shd w:fill="5A401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Coverage A
Dwelling</w:t>
            </w:r>
          </w:p>
        </w:tc>
        <w:tc>
          <w:tcPr>
            <w:tcW w:type="dxa" w:w="7160"/>
            <w:tcBorders>
              <w:top w:val="single" w:color="A0B4C8" w:sz="1"/>
              <w:left w:val="single" w:color="A0B4C8" w:sz="1"/>
              <w:bottom w:val="single" w:color="A0B4C8" w:sz="1"/>
              <w:right w:val="single" w:color="A0B4C8" w:sz="1"/>
            </w:tcBorders>
            <w:shd w:fill="FAF6EC" w:val="clear"/>
            <w:tcMar>
              <w:top w:type="dxa" w:w="100"/>
              <w:left w:type="dxa" w:w="160"/>
              <w:bottom w:type="dxa" w:w="100"/>
              <w:right w:type="dxa" w:w="160"/>
            </w:tcMar>
          </w:tcPr>
          <w:p>
            <w:pPr>
              <w:spacing w:after="0" w:before="0"/>
            </w:pPr>
            <w:r>
              <w:rPr>
                <w:rFonts w:ascii="Arial" w:cs="Arial" w:eastAsia="Arial" w:hAnsi="Arial"/>
                <w:color w:val="2C3848"/>
                <w:sz w:val="20"/>
                <w:szCs w:val="20"/>
              </w:rPr>
              <w:t xml:space="preserve">The foundation: the physical home at replacement cost. Insure to 100%+ of rebuild cost. Add extended replacement cost endorsement. Anchor of the entire policy.</w:t>
            </w:r>
          </w:p>
        </w:tc>
      </w:tr>
    </w:tbl>
    <w:p>
      <w:pPr>
        <w:spacing w:after="0" w:before="2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A2E48" w:val="clear"/>
            <w:tcMar>
              <w:top w:type="dxa" w:w="240"/>
              <w:left w:type="dxa" w:w="320"/>
              <w:bottom w:type="dxa" w:w="240"/>
              <w:right w:type="dxa" w:w="320"/>
            </w:tcMar>
          </w:tcPr>
          <w:p>
            <w:pPr>
              <w:spacing w:after="120" w:before="0"/>
            </w:pPr>
            <w:r>
              <w:rPr>
                <w:rFonts w:ascii="Arial" w:cs="Arial" w:eastAsia="Arial" w:hAnsi="Arial"/>
                <w:b/>
                <w:bCs/>
                <w:color w:val="FFFFFF"/>
                <w:sz w:val="30"/>
                <w:szCs w:val="30"/>
              </w:rPr>
              <w:t xml:space="preserve">Your Home. Your Coverage. Your Confidence.</w:t>
            </w:r>
          </w:p>
          <w:p>
            <w:pPr>
              <w:spacing w:after="100" w:before="0"/>
            </w:pPr>
            <w:r>
              <w:rPr>
                <w:rFonts w:ascii="Arial" w:cs="Arial" w:eastAsia="Arial" w:hAnsi="Arial"/>
                <w:color w:val="AABCCC"/>
                <w:sz w:val="22"/>
                <w:szCs w:val="22"/>
              </w:rPr>
              <w:t xml:space="preserve">Understanding your homeowners policy is the first step to ensuring it will actually protect you when you need it most. From Coverage A’s replacement cost foundation to Coverage E’s liability protection, every component serves a critical purpose. Daly &amp; Alexander Insurance helps homeowners build policies that provide true protection — not just a premium payment.</w:t>
            </w:r>
          </w:p>
          <w:p>
            <w:pPr>
              <w:spacing w:after="0" w:before="0"/>
            </w:pPr>
            <w:r>
              <w:rPr>
                <w:rFonts w:ascii="Arial" w:cs="Arial" w:eastAsia="Arial" w:hAnsi="Arial"/>
                <w:b/>
                <w:bCs/>
                <w:color w:val="FFFFFF"/>
                <w:sz w:val="22"/>
                <w:szCs w:val="22"/>
              </w:rPr>
              <w:t xml:space="preserve">Contact Daly &amp; Alexander Insurance today at www.dalyandalexander.com</w:t>
            </w:r>
          </w:p>
        </w:tc>
      </w:tr>
    </w:tbl>
    <w:p>
      <w:pPr>
        <w:spacing w:after="0" w:before="200"/>
      </w:pPr>
      <w:r>
        <w:rPr>
          <w:rFonts w:ascii="Arial" w:cs="Arial" w:eastAsia="Arial" w:hAnsi="Arial"/>
        </w:rPr>
        <w:t xml:space="preserve"/>
      </w:r>
    </w:p>
    <w:p>
      <w:pPr>
        <w:pBdr>
          <w:top w:val="single" w:color="C4CDD8" w:sz="4" w:space="6"/>
        </w:pBdr>
        <w:spacing w:after="80" w:before="0"/>
      </w:pPr>
      <w:r>
        <w:rPr>
          <w:rFonts w:ascii="Arial" w:cs="Arial" w:eastAsia="Arial" w:hAnsi="Arial"/>
          <w:b/>
          <w:bCs/>
          <w:caps/>
          <w:color w:val="687280"/>
          <w:sz w:val="19"/>
          <w:szCs w:val="19"/>
        </w:rPr>
        <w:t xml:space="preserve">Disclaimer</w:t>
      </w:r>
    </w:p>
    <w:p>
      <w:pPr>
        <w:spacing w:after="120" w:before="0"/>
      </w:pPr>
      <w:r>
        <w:rPr>
          <w:rFonts w:ascii="Arial" w:cs="Arial" w:eastAsia="Arial" w:hAnsi="Arial"/>
          <w:color w:val="687280"/>
          <w:sz w:val="18"/>
          <w:szCs w:val="18"/>
        </w:rPr>
        <w:t xml:space="preserve">The information contained in this article is intended for general informational and educational purposes only and should not be construed as legal, financial, or insurance advice. Homeowners insurance coverage terms, policy forms, coverage limits, exclusions, and underwriting guidelines vary significantly by carrier, state, and individual policy and are subject to change. It is the sole responsibility of the reader to carefully review their individual insurance policy and all applicable terms, conditions, and exclusions to determine the exact scope of coverage applicable to their specific circumstances. Daly Insurance, Inc. and Daly &amp; Alexander Insurance make no representations or warranties of any kind regarding the completeness, accuracy, or reliability of any content published online or offline, and expressly disclaim all liability for any errors, omissions, or inaccuracies. Coverage availability, terms, and pricing are subject to underwriting approval and vary by carrier, state, and individual circumstance.</w:t>
      </w:r>
    </w:p>
    <w:p>
      <w:pPr>
        <w:spacing w:after="0" w:before="80"/>
        <w:jc w:val="center"/>
      </w:pPr>
      <w:r>
        <w:rPr>
          <w:rFonts w:ascii="Arial" w:cs="Arial" w:eastAsia="Arial" w:hAnsi="Arial"/>
          <w:i/>
          <w:iCs/>
          <w:color w:val="687280"/>
          <w:sz w:val="18"/>
          <w:szCs w:val="18"/>
        </w:rPr>
        <w:t xml:space="preserve">Daly Insurance, Inc.  |  Daly &amp; Alexander Insurance  |  www.dalyandalexander.com  |  Licensed Insurance Professionals</w:t>
      </w:r>
    </w:p>
    <w:sectPr>
      <w:headerReference w:type="default" r:id="rId7"/>
      <w:footerReference w:type="default" r:id="rId8"/>
      <w:pgSz w:w="12240" w:h="15840" w:orient="portrait"/>
      <w:pgMar w:top="1440" w:right="1260" w:bottom="1440" w:left="126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E8B898" w:sz="4" w:space="4"/>
      </w:pBdr>
      <w:spacing w:after="0" w:before="0"/>
    </w:pPr>
    <w:r>
      <w:rPr>
        <w:rFonts w:ascii="Arial" w:cs="Arial" w:eastAsia="Arial" w:hAnsi="Arial"/>
        <w:color w:val="687280"/>
        <w:sz w:val="16"/>
        <w:szCs w:val="16"/>
      </w:rPr>
      <w:t xml:space="preserve">Daly Insurance, Inc.  |  Daly &amp; Alexander Insurance  |  Licensed Insurance Professionals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E8B898" w:sz="4" w:space="6"/>
      </w:pBdr>
      <w:spacing w:after="0" w:before="0"/>
    </w:pPr>
    <w:r>
      <w:rPr>
        <w:rFonts w:ascii="Arial" w:cs="Arial" w:eastAsia="Arial" w:hAnsi="Arial"/>
        <w:b/>
        <w:bCs/>
        <w:color w:val="2A4468"/>
        <w:sz w:val="18"/>
        <w:szCs w:val="18"/>
      </w:rPr>
      <w:t xml:space="preserve">HOMEOWNERS INSURANCE COVERAGE GUIDE</w:t>
    </w:r>
    <w:r>
      <w:rPr>
        <w:rFonts w:ascii="Arial" w:cs="Arial" w:eastAsia="Arial" w:hAnsi="Arial"/>
        <w:color w:val="687280"/>
        <w:sz w:val="18"/>
        <w:szCs w:val="18"/>
      </w:rPr>
      <w:t xml:space="preserve">   |   Daly &amp; Alexander Insurance  |  www.dalyandalexander.com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60" w:hanging="28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20" w:before="360"/>
      <w:outlineLvl w:val="0"/>
    </w:pPr>
    <w:rPr>
      <w:rFonts w:ascii="Arial" w:cs="Arial" w:eastAsia="Arial" w:hAnsi="Arial"/>
      <w:b/>
      <w:bCs/>
      <w:color w:val="1A2E48"/>
      <w:sz w:val="32"/>
      <w:szCs w:val="32"/>
    </w:rPr>
  </w:style>
  <w:style w:type="paragraph" w:styleId="Heading2">
    <w:name w:val="Heading 2"/>
    <w:basedOn w:val="Normal"/>
    <w:next w:val="Normal"/>
    <w:qFormat/>
    <w:pPr>
      <w:spacing w:after="80" w:before="240"/>
      <w:outlineLvl w:val="1"/>
    </w:pPr>
    <w:rPr>
      <w:rFonts w:ascii="Arial" w:cs="Arial" w:eastAsia="Arial" w:hAnsi="Arial"/>
      <w:b/>
      <w:bCs/>
      <w:color w:val="2A4468"/>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2026-05-06T07:13:04.499Z</dcterms:created>
  <dcterms:modified xsi:type="dcterms:W3CDTF">2026-05-06T07:13:04.515Z</dcterms:modified>
</cp:coreProperties>
</file>

<file path=docProps/custom.xml><?xml version="1.0" encoding="utf-8"?>
<Properties xmlns="http://schemas.openxmlformats.org/officeDocument/2006/custom-properties" xmlns:vt="http://schemas.openxmlformats.org/officeDocument/2006/docPropsVTypes"/>
</file>