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Bdr>
          <w:bottom w:val="single" w:color="D4621A" w:sz="8" w:space="8"/>
        </w:pBdr>
        <w:spacing w:after="80" w:before="0"/>
        <w:jc w:val="center"/>
      </w:pPr>
      <w:r>
        <w:rPr>
          <w:rFonts w:ascii="Arial" w:cs="Arial" w:eastAsia="Arial" w:hAnsi="Arial"/>
          <w:b/>
          <w:bCs/>
          <w:color w:val="2C2C2C"/>
          <w:sz w:val="48"/>
          <w:szCs w:val="48"/>
        </w:rPr>
        <w:t xml:space="preserve">MOTORCYCLE INSURANCE GUIDE</w:t>
      </w:r>
    </w:p>
    <w:p>
      <w:pPr>
        <w:spacing w:after="60" w:before="120"/>
        <w:jc w:val="center"/>
      </w:pPr>
      <w:r>
        <w:rPr>
          <w:rFonts w:ascii="Arial" w:cs="Arial" w:eastAsia="Arial" w:hAnsi="Arial"/>
          <w:i/>
          <w:iCs/>
          <w:color w:val="3C3C3C"/>
          <w:sz w:val="26"/>
          <w:szCs w:val="26"/>
        </w:rPr>
        <w:t xml:space="preserve">Coverage, Requirements &amp; Rider Essentials — Everything You Need to Know</w:t>
      </w:r>
    </w:p>
    <w:p>
      <w:pPr>
        <w:spacing w:after="0" w:before="0"/>
        <w:jc w:val="center"/>
      </w:pPr>
      <w:r>
        <w:rPr>
          <w:rFonts w:ascii="Arial" w:cs="Arial" w:eastAsia="Arial" w:hAnsi="Arial"/>
          <w:color w:val="6A6A6A"/>
          <w:sz w:val="20"/>
          <w:szCs w:val="20"/>
        </w:rPr>
        <w:t xml:space="preserve">Daly &amp; Alexander Insurance  |  www.dalyandalexander.com</w:t>
      </w:r>
    </w:p>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D4621A" w:sz="18"/>
              <w:bottom w:val="none" w:color="FFFFFF" w:sz="0"/>
              <w:right w:val="none" w:color="FFFFFF" w:sz="0"/>
            </w:tcBorders>
            <w:shd w:fill="FDF4EE" w:val="clear"/>
            <w:tcMar>
              <w:top w:type="dxa" w:w="140"/>
              <w:left w:type="dxa" w:w="240"/>
              <w:bottom w:type="dxa" w:w="140"/>
              <w:right w:type="dxa" w:w="240"/>
            </w:tcMar>
          </w:tcPr>
          <w:p>
            <w:pPr>
              <w:spacing w:after="100" w:before="0"/>
            </w:pPr>
            <w:r>
              <w:rPr>
                <w:rFonts w:ascii="Arial" w:cs="Arial" w:eastAsia="Arial" w:hAnsi="Arial"/>
                <w:color w:val="3C3C3C"/>
                <w:sz w:val="22"/>
                <w:szCs w:val="22"/>
              </w:rPr>
              <w:t xml:space="preserve">Motorcycle insurance is more than a legal requirement — it is the financial safety net that stands between you and potentially catastrophic losses on the road. Whether you ride a cruiser, a sport bike, a touring motorcycle, or a scooter, the right insurance policy protects your machine, your finances, and your future.</w:t>
            </w:r>
          </w:p>
          <w:p>
            <w:pPr>
              <w:spacing w:after="0" w:before="0"/>
            </w:pPr>
            <w:r>
              <w:rPr>
                <w:rFonts w:ascii="Arial" w:cs="Arial" w:eastAsia="Arial" w:hAnsi="Arial"/>
                <w:color w:val="3C3C3C"/>
                <w:sz w:val="22"/>
                <w:szCs w:val="22"/>
              </w:rPr>
              <w:t xml:space="preserve">This guide explains what motorcycle insurance is, how it works, how it differs from auto insurance, and what every rider needs to know to make informed coverage decisions.</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2C2C2C" w:val="clear"/>
            <w:tcMar>
              <w:top w:type="dxa" w:w="160"/>
              <w:left w:type="dxa" w:w="240"/>
              <w:bottom w:type="dxa" w:w="160"/>
              <w:right w:type="dxa" w:w="240"/>
            </w:tcMar>
          </w:tcPr>
          <w:p>
            <w:pPr>
              <w:spacing w:after="0" w:before="0"/>
            </w:pPr>
            <w:r>
              <w:rPr>
                <w:rFonts w:ascii="Arial" w:cs="Arial" w:eastAsia="Arial" w:hAnsi="Arial"/>
                <w:b/>
                <w:bCs/>
                <w:color w:val="D4621A"/>
                <w:sz w:val="28"/>
                <w:szCs w:val="28"/>
              </w:rPr>
              <w:t xml:space="preserve">1.  </w:t>
            </w:r>
            <w:r>
              <w:rPr>
                <w:rFonts w:ascii="Arial" w:cs="Arial" w:eastAsia="Arial" w:hAnsi="Arial"/>
                <w:b/>
                <w:bCs/>
                <w:color w:val="FFFFFF"/>
                <w:sz w:val="28"/>
                <w:szCs w:val="28"/>
              </w:rPr>
              <w:t xml:space="preserve">What Motorcycle Insurance Is</w:t>
            </w:r>
          </w:p>
        </w:tc>
      </w:tr>
    </w:tbl>
    <w:p>
      <w:pPr>
        <w:spacing w:after="0" w:before="100"/>
      </w:pPr>
      <w:r>
        <w:rPr>
          <w:rFonts w:ascii="Arial" w:cs="Arial" w:eastAsia="Arial" w:hAnsi="Arial"/>
        </w:rPr>
        <w:t xml:space="preserve"/>
      </w:r>
    </w:p>
    <w:p>
      <w:pPr>
        <w:spacing w:after="110" w:before="80"/>
      </w:pPr>
      <w:r>
        <w:rPr>
          <w:rFonts w:ascii="Arial" w:cs="Arial" w:eastAsia="Arial" w:hAnsi="Arial"/>
          <w:color w:val="1A1A1A"/>
          <w:sz w:val="22"/>
          <w:szCs w:val="22"/>
        </w:rPr>
        <w:t xml:space="preserve">Motorcycle insurance is a specialized form of vehicle insurance designed specifically to protect motorcycle riders, their machines, and third parties from the financial consequences of accidents, theft, damage, and liability. Like auto insurance, it is a contract between the policyholder and an insurance company in which the insurer agrees to pay for covered losses in exchange for a premium.</w:t>
      </w:r>
    </w:p>
    <w:p>
      <w:pPr>
        <w:spacing w:after="0" w:before="80"/>
      </w:pPr>
      <w:r>
        <w:rPr>
          <w:rFonts w:ascii="Arial" w:cs="Arial" w:eastAsia="Arial" w:hAnsi="Arial"/>
        </w:rPr>
        <w:t xml:space="preserve"/>
      </w:r>
    </w:p>
    <w:p>
      <w:pPr>
        <w:spacing w:after="110" w:before="80"/>
      </w:pPr>
      <w:r>
        <w:rPr>
          <w:rFonts w:ascii="Arial" w:cs="Arial" w:eastAsia="Arial" w:hAnsi="Arial"/>
          <w:color w:val="1A1A1A"/>
          <w:sz w:val="22"/>
          <w:szCs w:val="22"/>
        </w:rPr>
        <w:t xml:space="preserve">However, motorcycle insurance is not simply an auto insurance policy applied to a two-wheeled vehicle. It is a distinct product with its own coverage structure, rating factors, exclusions, and endorsements that reflect the unique risks, uses, and characteristics of motorcycles and the riders who operate them.</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C0C8D0" w:sz="1"/>
              <w:left w:val="single" w:color="C0C8D0" w:sz="1"/>
              <w:bottom w:val="single" w:color="C0C8D0" w:sz="1"/>
              <w:right w:val="single" w:color="C0C8D0" w:sz="1"/>
            </w:tcBorders>
            <w:shd w:fill="F2F4F6" w:val="clear"/>
            <w:tcMar>
              <w:top w:type="dxa" w:w="110"/>
              <w:left w:type="dxa" w:w="160"/>
              <w:bottom w:type="dxa" w:w="110"/>
              <w:right w:type="dxa" w:w="160"/>
            </w:tcMar>
          </w:tcPr>
          <w:p>
            <w:pPr>
              <w:spacing w:after="60" w:before="0"/>
            </w:pPr>
            <w:r>
              <w:rPr>
                <w:rFonts w:ascii="Arial" w:cs="Arial" w:eastAsia="Arial" w:hAnsi="Arial"/>
                <w:b/>
                <w:bCs/>
                <w:color w:val="C04E00"/>
                <w:sz w:val="19"/>
                <w:szCs w:val="19"/>
              </w:rPr>
              <w:t xml:space="preserve">Core Purpose</w:t>
            </w:r>
          </w:p>
          <w:p>
            <w:pPr>
              <w:spacing w:after="0" w:before="0"/>
            </w:pPr>
            <w:r>
              <w:rPr>
                <w:rFonts w:ascii="Arial" w:cs="Arial" w:eastAsia="Arial" w:hAnsi="Arial"/>
                <w:color w:val="3C3C3C"/>
                <w:sz w:val="20"/>
                <w:szCs w:val="20"/>
              </w:rPr>
              <w:t xml:space="preserve">To protect riders financially from losses arising out of motorcycle ownership and operation, including liability for injuries or damage caused to others, damage to the motorcycle itself, and medical expenses for the rider.</w:t>
            </w:r>
          </w:p>
        </w:tc>
        <w:tc>
          <w:tcPr>
            <w:tcW w:type="dxa" w:w="4620"/>
            <w:tcBorders>
              <w:top w:val="single" w:color="C0C8D0" w:sz="1"/>
              <w:left w:val="single" w:color="C0C8D0" w:sz="1"/>
              <w:bottom w:val="single" w:color="C0C8D0" w:sz="1"/>
              <w:right w:val="single" w:color="C0C8D0" w:sz="1"/>
            </w:tcBorders>
            <w:shd w:fill="F2F4F6" w:val="clear"/>
            <w:tcMar>
              <w:top w:type="dxa" w:w="110"/>
              <w:left w:type="dxa" w:w="160"/>
              <w:bottom w:type="dxa" w:w="110"/>
              <w:right w:type="dxa" w:w="160"/>
            </w:tcMar>
          </w:tcPr>
          <w:p>
            <w:pPr>
              <w:spacing w:after="60" w:before="0"/>
            </w:pPr>
            <w:r>
              <w:rPr>
                <w:rFonts w:ascii="Arial" w:cs="Arial" w:eastAsia="Arial" w:hAnsi="Arial"/>
                <w:b/>
                <w:bCs/>
                <w:color w:val="C04E00"/>
                <w:sz w:val="19"/>
                <w:szCs w:val="19"/>
              </w:rPr>
              <w:t xml:space="preserve">Who It Covers</w:t>
            </w:r>
          </w:p>
          <w:p>
            <w:pPr>
              <w:spacing w:after="0" w:before="0"/>
            </w:pPr>
            <w:r>
              <w:rPr>
                <w:rFonts w:ascii="Arial" w:cs="Arial" w:eastAsia="Arial" w:hAnsi="Arial"/>
                <w:color w:val="3C3C3C"/>
                <w:sz w:val="20"/>
                <w:szCs w:val="20"/>
              </w:rPr>
              <w:t xml:space="preserve">The named insured (the policyholder), additional listed riders, and in some cases, passengers and other parties injured in an accident involving the insured motorcycle.</w:t>
            </w:r>
          </w:p>
        </w:tc>
      </w:tr>
      <w:tr>
        <w:tc>
          <w:tcPr>
            <w:tcW w:type="dxa" w:w="4620"/>
            <w:tcBorders>
              <w:top w:val="single" w:color="C0C8D0" w:sz="1"/>
              <w:left w:val="single" w:color="C0C8D0" w:sz="1"/>
              <w:bottom w:val="single" w:color="C0C8D0" w:sz="1"/>
              <w:right w:val="single" w:color="C0C8D0" w:sz="1"/>
            </w:tcBorders>
            <w:shd w:fill="F2F4F6" w:val="clear"/>
            <w:tcMar>
              <w:top w:type="dxa" w:w="110"/>
              <w:left w:type="dxa" w:w="160"/>
              <w:bottom w:type="dxa" w:w="110"/>
              <w:right w:type="dxa" w:w="160"/>
            </w:tcMar>
          </w:tcPr>
          <w:p>
            <w:pPr>
              <w:spacing w:after="60" w:before="0"/>
            </w:pPr>
            <w:r>
              <w:rPr>
                <w:rFonts w:ascii="Arial" w:cs="Arial" w:eastAsia="Arial" w:hAnsi="Arial"/>
                <w:b/>
                <w:bCs/>
                <w:color w:val="C04E00"/>
                <w:sz w:val="19"/>
                <w:szCs w:val="19"/>
              </w:rPr>
              <w:t xml:space="preserve">What It Covers</w:t>
            </w:r>
          </w:p>
          <w:p>
            <w:pPr>
              <w:spacing w:after="0" w:before="0"/>
            </w:pPr>
            <w:r>
              <w:rPr>
                <w:rFonts w:ascii="Arial" w:cs="Arial" w:eastAsia="Arial" w:hAnsi="Arial"/>
                <w:color w:val="3C3C3C"/>
                <w:sz w:val="20"/>
                <w:szCs w:val="20"/>
              </w:rPr>
              <w:t xml:space="preserve">Liability to third parties, physical damage to the motorcycle (collision and comprehensive), medical payments, uninsured and underinsured motorist protection, and optional coverages for accessories, gear, and roadside assistance.</w:t>
            </w:r>
          </w:p>
        </w:tc>
        <w:tc>
          <w:tcPr>
            <w:tcW w:type="dxa" w:w="4620"/>
            <w:tcBorders>
              <w:top w:val="single" w:color="C0C8D0" w:sz="1"/>
              <w:left w:val="single" w:color="C0C8D0" w:sz="1"/>
              <w:bottom w:val="single" w:color="C0C8D0" w:sz="1"/>
              <w:right w:val="single" w:color="C0C8D0" w:sz="1"/>
            </w:tcBorders>
            <w:shd w:fill="F2F4F6" w:val="clear"/>
            <w:tcMar>
              <w:top w:type="dxa" w:w="110"/>
              <w:left w:type="dxa" w:w="160"/>
              <w:bottom w:type="dxa" w:w="110"/>
              <w:right w:type="dxa" w:w="160"/>
            </w:tcMar>
          </w:tcPr>
          <w:p>
            <w:pPr>
              <w:spacing w:after="60" w:before="0"/>
            </w:pPr>
            <w:r>
              <w:rPr>
                <w:rFonts w:ascii="Arial" w:cs="Arial" w:eastAsia="Arial" w:hAnsi="Arial"/>
                <w:b/>
                <w:bCs/>
                <w:color w:val="C04E00"/>
                <w:sz w:val="19"/>
                <w:szCs w:val="19"/>
              </w:rPr>
              <w:t xml:space="preserve">Who Offers It</w:t>
            </w:r>
          </w:p>
          <w:p>
            <w:pPr>
              <w:spacing w:after="0" w:before="0"/>
            </w:pPr>
            <w:r>
              <w:rPr>
                <w:rFonts w:ascii="Arial" w:cs="Arial" w:eastAsia="Arial" w:hAnsi="Arial"/>
                <w:color w:val="3C3C3C"/>
                <w:sz w:val="20"/>
                <w:szCs w:val="20"/>
              </w:rPr>
              <w:t xml:space="preserve">Motorcycle insurance is offered by major insurance carriers with dedicated motorcycle programs (such as Progressive, GEICO, Markel, and Dairyland) as well as specialty insurers that focus exclusively on powersports and motorcycle coverage.</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D4621A" w:sz="18"/>
              <w:bottom w:val="none" w:color="FFFFFF" w:sz="0"/>
              <w:right w:val="none" w:color="FFFFFF" w:sz="0"/>
            </w:tcBorders>
            <w:shd w:fill="FDF4EE" w:val="clear"/>
            <w:tcMar>
              <w:top w:type="dxa" w:w="110"/>
              <w:left w:type="dxa" w:w="200"/>
              <w:bottom w:type="dxa" w:w="110"/>
              <w:right w:type="dxa" w:w="160"/>
            </w:tcMar>
          </w:tcPr>
          <w:p>
            <w:pPr>
              <w:spacing w:after="0" w:before="0"/>
            </w:pPr>
            <w:r>
              <w:rPr>
                <w:rFonts w:ascii="Arial" w:cs="Arial" w:eastAsia="Arial" w:hAnsi="Arial"/>
                <w:b/>
                <w:bCs/>
                <w:color w:val="C04E00"/>
                <w:sz w:val="20"/>
                <w:szCs w:val="20"/>
              </w:rPr>
              <w:t xml:space="preserve">Key Takeaway: </w:t>
            </w:r>
            <w:r>
              <w:rPr>
                <w:rFonts w:ascii="Arial" w:cs="Arial" w:eastAsia="Arial" w:hAnsi="Arial"/>
                <w:color w:val="3C3C3C"/>
                <w:sz w:val="20"/>
                <w:szCs w:val="20"/>
              </w:rPr>
              <w:t xml:space="preserve">Motorcycle insurance is required by law in the vast majority of U.S. states. Even in states where it is not legally mandated, riding without insurance exposes you to potentially unlimited personal financial liability in the event of an at-fault accident.</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2C2C2C" w:val="clear"/>
            <w:tcMar>
              <w:top w:type="dxa" w:w="160"/>
              <w:left w:type="dxa" w:w="240"/>
              <w:bottom w:type="dxa" w:w="160"/>
              <w:right w:type="dxa" w:w="240"/>
            </w:tcMar>
          </w:tcPr>
          <w:p>
            <w:pPr>
              <w:spacing w:after="0" w:before="0"/>
            </w:pPr>
            <w:r>
              <w:rPr>
                <w:rFonts w:ascii="Arial" w:cs="Arial" w:eastAsia="Arial" w:hAnsi="Arial"/>
                <w:b/>
                <w:bCs/>
                <w:color w:val="D4621A"/>
                <w:sz w:val="28"/>
                <w:szCs w:val="28"/>
              </w:rPr>
              <w:t xml:space="preserve">2.  </w:t>
            </w:r>
            <w:r>
              <w:rPr>
                <w:rFonts w:ascii="Arial" w:cs="Arial" w:eastAsia="Arial" w:hAnsi="Arial"/>
                <w:b/>
                <w:bCs/>
                <w:color w:val="FFFFFF"/>
                <w:sz w:val="28"/>
                <w:szCs w:val="28"/>
              </w:rPr>
              <w:t xml:space="preserve">Why Motorcycle Insurance Differs from Auto Insurance</w:t>
            </w:r>
          </w:p>
        </w:tc>
      </w:tr>
    </w:tbl>
    <w:p>
      <w:pPr>
        <w:spacing w:after="0" w:before="100"/>
      </w:pPr>
      <w:r>
        <w:rPr>
          <w:rFonts w:ascii="Arial" w:cs="Arial" w:eastAsia="Arial" w:hAnsi="Arial"/>
        </w:rPr>
        <w:t xml:space="preserve"/>
      </w:r>
    </w:p>
    <w:p>
      <w:pPr>
        <w:spacing w:after="110" w:before="80"/>
      </w:pPr>
      <w:r>
        <w:rPr>
          <w:rFonts w:ascii="Arial" w:cs="Arial" w:eastAsia="Arial" w:hAnsi="Arial"/>
          <w:color w:val="1A1A1A"/>
          <w:sz w:val="22"/>
          <w:szCs w:val="22"/>
        </w:rPr>
        <w:t xml:space="preserve">Motorcycle insurance and auto insurance share the same fundamental structure — liability, collision, comprehensive, uninsured motorist, and medical payments — but they are distinct products designed for fundamentally different risks. You cannot simply add a motorcycle to your auto insurance policy and expect the same coverage to apply.</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900"/>
        <w:gridCol w:w="3130"/>
        <w:gridCol w:w="3330"/>
      </w:tblGrid>
      <w:tr>
        <w:tc>
          <w:tcPr>
            <w:tcW w:type="dxa" w:w="2900"/>
            <w:tcBorders>
              <w:top w:val="none" w:color="FFFFFF" w:sz="0"/>
              <w:left w:val="none" w:color="FFFFFF" w:sz="0"/>
              <w:bottom w:val="none" w:color="FFFFFF" w:sz="0"/>
              <w:right w:val="none" w:color="FFFFFF" w:sz="0"/>
            </w:tcBorders>
            <w:shd w:fill="3A455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Feature</w:t>
            </w:r>
          </w:p>
        </w:tc>
        <w:tc>
          <w:tcPr>
            <w:tcW w:type="dxa" w:w="3130"/>
            <w:tcBorders>
              <w:top w:val="none" w:color="FFFFFF" w:sz="0"/>
              <w:left w:val="none" w:color="FFFFFF" w:sz="0"/>
              <w:bottom w:val="none" w:color="FFFFFF" w:sz="0"/>
              <w:right w:val="none" w:color="FFFFFF" w:sz="0"/>
            </w:tcBorders>
            <w:shd w:fill="C04E0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Auto Insurance</w:t>
            </w:r>
          </w:p>
        </w:tc>
        <w:tc>
          <w:tcPr>
            <w:tcW w:type="dxa" w:w="3330"/>
            <w:tcBorders>
              <w:top w:val="none" w:color="FFFFFF" w:sz="0"/>
              <w:left w:val="none" w:color="FFFFFF" w:sz="0"/>
              <w:bottom w:val="none" w:color="FFFFFF" w:sz="0"/>
              <w:right w:val="none" w:color="FFFFFF" w:sz="0"/>
            </w:tcBorders>
            <w:shd w:fill="C04E0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Motorcycle Insurance</w:t>
            </w:r>
          </w:p>
        </w:tc>
      </w:tr>
      <w:tr>
        <w:tc>
          <w:tcPr>
            <w:tcW w:type="dxa" w:w="2900"/>
            <w:tcBorders>
              <w:top w:val="single" w:color="C0C8D0" w:sz="1"/>
              <w:left w:val="single" w:color="C0C8D0" w:sz="1"/>
              <w:bottom w:val="single" w:color="C0C8D0" w:sz="1"/>
              <w:right w:val="single" w:color="C0C8D0" w:sz="1"/>
            </w:tcBorders>
            <w:shd w:fill="FFFFFF" w:val="clear"/>
            <w:tcMar>
              <w:top w:type="dxa" w:w="80"/>
              <w:left w:type="dxa" w:w="160"/>
              <w:bottom w:type="dxa" w:w="80"/>
              <w:right w:type="dxa" w:w="160"/>
            </w:tcMar>
          </w:tcPr>
          <w:p>
            <w:pPr>
              <w:spacing w:after="0" w:before="0"/>
            </w:pPr>
            <w:r>
              <w:rPr>
                <w:rFonts w:ascii="Arial" w:cs="Arial" w:eastAsia="Arial" w:hAnsi="Arial"/>
                <w:b/>
                <w:bCs/>
                <w:color w:val="1A1A1A"/>
                <w:sz w:val="20"/>
                <w:szCs w:val="20"/>
              </w:rPr>
              <w:t xml:space="preserve">Vehicle type</w:t>
            </w:r>
          </w:p>
        </w:tc>
        <w:tc>
          <w:tcPr>
            <w:tcW w:type="dxa" w:w="3130"/>
            <w:tcBorders>
              <w:top w:val="single" w:color="C0C8D0" w:sz="1"/>
              <w:left w:val="single" w:color="C0C8D0" w:sz="1"/>
              <w:bottom w:val="single" w:color="C0C8D0" w:sz="1"/>
              <w:right w:val="single" w:color="C0C8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Four-wheeled enclosed vehicles</w:t>
            </w:r>
          </w:p>
        </w:tc>
        <w:tc>
          <w:tcPr>
            <w:tcW w:type="dxa" w:w="3330"/>
            <w:tcBorders>
              <w:top w:val="single" w:color="C0C8D0" w:sz="1"/>
              <w:left w:val="single" w:color="C0C8D0" w:sz="1"/>
              <w:bottom w:val="single" w:color="C0C8D0" w:sz="1"/>
              <w:right w:val="single" w:color="C0C8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Two or three-wheeled open-air vehicles</w:t>
            </w:r>
          </w:p>
        </w:tc>
      </w:tr>
      <w:tr>
        <w:tc>
          <w:tcPr>
            <w:tcW w:type="dxa" w:w="2900"/>
            <w:tcBorders>
              <w:top w:val="single" w:color="C0C8D0" w:sz="1"/>
              <w:left w:val="single" w:color="C0C8D0" w:sz="1"/>
              <w:bottom w:val="single" w:color="C0C8D0" w:sz="1"/>
              <w:right w:val="single" w:color="C0C8D0" w:sz="1"/>
            </w:tcBorders>
            <w:shd w:fill="F2F4F6" w:val="clear"/>
            <w:tcMar>
              <w:top w:type="dxa" w:w="80"/>
              <w:left w:type="dxa" w:w="160"/>
              <w:bottom w:type="dxa" w:w="80"/>
              <w:right w:type="dxa" w:w="160"/>
            </w:tcMar>
          </w:tcPr>
          <w:p>
            <w:pPr>
              <w:spacing w:after="0" w:before="0"/>
            </w:pPr>
            <w:r>
              <w:rPr>
                <w:rFonts w:ascii="Arial" w:cs="Arial" w:eastAsia="Arial" w:hAnsi="Arial"/>
                <w:b/>
                <w:bCs/>
                <w:color w:val="1A1A1A"/>
                <w:sz w:val="20"/>
                <w:szCs w:val="20"/>
              </w:rPr>
              <w:t xml:space="preserve">Injury risk profile</w:t>
            </w:r>
          </w:p>
        </w:tc>
        <w:tc>
          <w:tcPr>
            <w:tcW w:type="dxa" w:w="3130"/>
            <w:tcBorders>
              <w:top w:val="single" w:color="C0C8D0" w:sz="1"/>
              <w:left w:val="single" w:color="C0C8D0" w:sz="1"/>
              <w:bottom w:val="single" w:color="C0C8D0" w:sz="1"/>
              <w:right w:val="single" w:color="C0C8D0" w:sz="1"/>
            </w:tcBorders>
            <w:shd w:fill="F2F4F6"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Lower — enclosed cab provides protection</w:t>
            </w:r>
          </w:p>
        </w:tc>
        <w:tc>
          <w:tcPr>
            <w:tcW w:type="dxa" w:w="3330"/>
            <w:tcBorders>
              <w:top w:val="single" w:color="C0C8D0" w:sz="1"/>
              <w:left w:val="single" w:color="C0C8D0" w:sz="1"/>
              <w:bottom w:val="single" w:color="C0C8D0" w:sz="1"/>
              <w:right w:val="single" w:color="C0C8D0" w:sz="1"/>
            </w:tcBorders>
            <w:shd w:fill="F2F4F6"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Higher — rider is fully exposed</w:t>
            </w:r>
          </w:p>
        </w:tc>
      </w:tr>
      <w:tr>
        <w:tc>
          <w:tcPr>
            <w:tcW w:type="dxa" w:w="2900"/>
            <w:tcBorders>
              <w:top w:val="single" w:color="C0C8D0" w:sz="1"/>
              <w:left w:val="single" w:color="C0C8D0" w:sz="1"/>
              <w:bottom w:val="single" w:color="C0C8D0" w:sz="1"/>
              <w:right w:val="single" w:color="C0C8D0" w:sz="1"/>
            </w:tcBorders>
            <w:shd w:fill="FFFFFF" w:val="clear"/>
            <w:tcMar>
              <w:top w:type="dxa" w:w="80"/>
              <w:left w:type="dxa" w:w="160"/>
              <w:bottom w:type="dxa" w:w="80"/>
              <w:right w:type="dxa" w:w="160"/>
            </w:tcMar>
          </w:tcPr>
          <w:p>
            <w:pPr>
              <w:spacing w:after="0" w:before="0"/>
            </w:pPr>
            <w:r>
              <w:rPr>
                <w:rFonts w:ascii="Arial" w:cs="Arial" w:eastAsia="Arial" w:hAnsi="Arial"/>
                <w:b/>
                <w:bCs/>
                <w:color w:val="1A1A1A"/>
                <w:sz w:val="20"/>
                <w:szCs w:val="20"/>
              </w:rPr>
              <w:t xml:space="preserve">Theft risk</w:t>
            </w:r>
          </w:p>
        </w:tc>
        <w:tc>
          <w:tcPr>
            <w:tcW w:type="dxa" w:w="3130"/>
            <w:tcBorders>
              <w:top w:val="single" w:color="C0C8D0" w:sz="1"/>
              <w:left w:val="single" w:color="C0C8D0" w:sz="1"/>
              <w:bottom w:val="single" w:color="C0C8D0" w:sz="1"/>
              <w:right w:val="single" w:color="C0C8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Moderate</w:t>
            </w:r>
          </w:p>
        </w:tc>
        <w:tc>
          <w:tcPr>
            <w:tcW w:type="dxa" w:w="3330"/>
            <w:tcBorders>
              <w:top w:val="single" w:color="C0C8D0" w:sz="1"/>
              <w:left w:val="single" w:color="C0C8D0" w:sz="1"/>
              <w:bottom w:val="single" w:color="C0C8D0" w:sz="1"/>
              <w:right w:val="single" w:color="C0C8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Higher — easier to steal, strip for parts</w:t>
            </w:r>
          </w:p>
        </w:tc>
      </w:tr>
      <w:tr>
        <w:tc>
          <w:tcPr>
            <w:tcW w:type="dxa" w:w="2900"/>
            <w:tcBorders>
              <w:top w:val="single" w:color="C0C8D0" w:sz="1"/>
              <w:left w:val="single" w:color="C0C8D0" w:sz="1"/>
              <w:bottom w:val="single" w:color="C0C8D0" w:sz="1"/>
              <w:right w:val="single" w:color="C0C8D0" w:sz="1"/>
            </w:tcBorders>
            <w:shd w:fill="F2F4F6" w:val="clear"/>
            <w:tcMar>
              <w:top w:type="dxa" w:w="80"/>
              <w:left w:type="dxa" w:w="160"/>
              <w:bottom w:type="dxa" w:w="80"/>
              <w:right w:type="dxa" w:w="160"/>
            </w:tcMar>
          </w:tcPr>
          <w:p>
            <w:pPr>
              <w:spacing w:after="0" w:before="0"/>
            </w:pPr>
            <w:r>
              <w:rPr>
                <w:rFonts w:ascii="Arial" w:cs="Arial" w:eastAsia="Arial" w:hAnsi="Arial"/>
                <w:b/>
                <w:bCs/>
                <w:color w:val="1A1A1A"/>
                <w:sz w:val="20"/>
                <w:szCs w:val="20"/>
              </w:rPr>
              <w:t xml:space="preserve">Seasonal use</w:t>
            </w:r>
          </w:p>
        </w:tc>
        <w:tc>
          <w:tcPr>
            <w:tcW w:type="dxa" w:w="3130"/>
            <w:tcBorders>
              <w:top w:val="single" w:color="C0C8D0" w:sz="1"/>
              <w:left w:val="single" w:color="C0C8D0" w:sz="1"/>
              <w:bottom w:val="single" w:color="C0C8D0" w:sz="1"/>
              <w:right w:val="single" w:color="C0C8D0" w:sz="1"/>
            </w:tcBorders>
            <w:shd w:fill="F2F4F6"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Year-round in most markets</w:t>
            </w:r>
          </w:p>
        </w:tc>
        <w:tc>
          <w:tcPr>
            <w:tcW w:type="dxa" w:w="3330"/>
            <w:tcBorders>
              <w:top w:val="single" w:color="C0C8D0" w:sz="1"/>
              <w:left w:val="single" w:color="C0C8D0" w:sz="1"/>
              <w:bottom w:val="single" w:color="C0C8D0" w:sz="1"/>
              <w:right w:val="single" w:color="C0C8D0" w:sz="1"/>
            </w:tcBorders>
            <w:shd w:fill="F2F4F6"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Seasonal in many regions; lay-up options available</w:t>
            </w:r>
          </w:p>
        </w:tc>
      </w:tr>
      <w:tr>
        <w:tc>
          <w:tcPr>
            <w:tcW w:type="dxa" w:w="2900"/>
            <w:tcBorders>
              <w:top w:val="single" w:color="C0C8D0" w:sz="1"/>
              <w:left w:val="single" w:color="C0C8D0" w:sz="1"/>
              <w:bottom w:val="single" w:color="C0C8D0" w:sz="1"/>
              <w:right w:val="single" w:color="C0C8D0" w:sz="1"/>
            </w:tcBorders>
            <w:shd w:fill="FFFFFF" w:val="clear"/>
            <w:tcMar>
              <w:top w:type="dxa" w:w="80"/>
              <w:left w:type="dxa" w:w="160"/>
              <w:bottom w:type="dxa" w:w="80"/>
              <w:right w:type="dxa" w:w="160"/>
            </w:tcMar>
          </w:tcPr>
          <w:p>
            <w:pPr>
              <w:spacing w:after="0" w:before="0"/>
            </w:pPr>
            <w:r>
              <w:rPr>
                <w:rFonts w:ascii="Arial" w:cs="Arial" w:eastAsia="Arial" w:hAnsi="Arial"/>
                <w:b/>
                <w:bCs/>
                <w:color w:val="1A1A1A"/>
                <w:sz w:val="20"/>
                <w:szCs w:val="20"/>
              </w:rPr>
              <w:t xml:space="preserve">Customization coverage</w:t>
            </w:r>
          </w:p>
        </w:tc>
        <w:tc>
          <w:tcPr>
            <w:tcW w:type="dxa" w:w="3130"/>
            <w:tcBorders>
              <w:top w:val="single" w:color="C0C8D0" w:sz="1"/>
              <w:left w:val="single" w:color="C0C8D0" w:sz="1"/>
              <w:bottom w:val="single" w:color="C0C8D0" w:sz="1"/>
              <w:right w:val="single" w:color="C0C8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Limited custom parts coverage</w:t>
            </w:r>
          </w:p>
        </w:tc>
        <w:tc>
          <w:tcPr>
            <w:tcW w:type="dxa" w:w="3330"/>
            <w:tcBorders>
              <w:top w:val="single" w:color="C0C8D0" w:sz="1"/>
              <w:left w:val="single" w:color="C0C8D0" w:sz="1"/>
              <w:bottom w:val="single" w:color="C0C8D0" w:sz="1"/>
              <w:right w:val="single" w:color="C0C8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Dedicated accessories and custom parts coverage</w:t>
            </w:r>
          </w:p>
        </w:tc>
      </w:tr>
      <w:tr>
        <w:tc>
          <w:tcPr>
            <w:tcW w:type="dxa" w:w="2900"/>
            <w:tcBorders>
              <w:top w:val="single" w:color="C0C8D0" w:sz="1"/>
              <w:left w:val="single" w:color="C0C8D0" w:sz="1"/>
              <w:bottom w:val="single" w:color="C0C8D0" w:sz="1"/>
              <w:right w:val="single" w:color="C0C8D0" w:sz="1"/>
            </w:tcBorders>
            <w:shd w:fill="F2F4F6" w:val="clear"/>
            <w:tcMar>
              <w:top w:type="dxa" w:w="80"/>
              <w:left w:type="dxa" w:w="160"/>
              <w:bottom w:type="dxa" w:w="80"/>
              <w:right w:type="dxa" w:w="160"/>
            </w:tcMar>
          </w:tcPr>
          <w:p>
            <w:pPr>
              <w:spacing w:after="0" w:before="0"/>
            </w:pPr>
            <w:r>
              <w:rPr>
                <w:rFonts w:ascii="Arial" w:cs="Arial" w:eastAsia="Arial" w:hAnsi="Arial"/>
                <w:b/>
                <w:bCs/>
                <w:color w:val="1A1A1A"/>
                <w:sz w:val="20"/>
                <w:szCs w:val="20"/>
              </w:rPr>
              <w:t xml:space="preserve">Gear coverage</w:t>
            </w:r>
          </w:p>
        </w:tc>
        <w:tc>
          <w:tcPr>
            <w:tcW w:type="dxa" w:w="3130"/>
            <w:tcBorders>
              <w:top w:val="single" w:color="C0C8D0" w:sz="1"/>
              <w:left w:val="single" w:color="C0C8D0" w:sz="1"/>
              <w:bottom w:val="single" w:color="C0C8D0" w:sz="1"/>
              <w:right w:val="single" w:color="C0C8D0" w:sz="1"/>
            </w:tcBorders>
            <w:shd w:fill="F2F4F6"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Not applicable</w:t>
            </w:r>
          </w:p>
        </w:tc>
        <w:tc>
          <w:tcPr>
            <w:tcW w:type="dxa" w:w="3330"/>
            <w:tcBorders>
              <w:top w:val="single" w:color="C0C8D0" w:sz="1"/>
              <w:left w:val="single" w:color="C0C8D0" w:sz="1"/>
              <w:bottom w:val="single" w:color="C0C8D0" w:sz="1"/>
              <w:right w:val="single" w:color="C0C8D0" w:sz="1"/>
            </w:tcBorders>
            <w:shd w:fill="F2F4F6"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Helmets, riding jackets, gloves, boots available</w:t>
            </w:r>
          </w:p>
        </w:tc>
      </w:tr>
      <w:tr>
        <w:tc>
          <w:tcPr>
            <w:tcW w:type="dxa" w:w="2900"/>
            <w:tcBorders>
              <w:top w:val="single" w:color="C0C8D0" w:sz="1"/>
              <w:left w:val="single" w:color="C0C8D0" w:sz="1"/>
              <w:bottom w:val="single" w:color="C0C8D0" w:sz="1"/>
              <w:right w:val="single" w:color="C0C8D0" w:sz="1"/>
            </w:tcBorders>
            <w:shd w:fill="FFFFFF" w:val="clear"/>
            <w:tcMar>
              <w:top w:type="dxa" w:w="80"/>
              <w:left w:type="dxa" w:w="160"/>
              <w:bottom w:type="dxa" w:w="80"/>
              <w:right w:type="dxa" w:w="160"/>
            </w:tcMar>
          </w:tcPr>
          <w:p>
            <w:pPr>
              <w:spacing w:after="0" w:before="0"/>
            </w:pPr>
            <w:r>
              <w:rPr>
                <w:rFonts w:ascii="Arial" w:cs="Arial" w:eastAsia="Arial" w:hAnsi="Arial"/>
                <w:b/>
                <w:bCs/>
                <w:color w:val="1A1A1A"/>
                <w:sz w:val="20"/>
                <w:szCs w:val="20"/>
              </w:rPr>
              <w:t xml:space="preserve">Passenger coverage</w:t>
            </w:r>
          </w:p>
        </w:tc>
        <w:tc>
          <w:tcPr>
            <w:tcW w:type="dxa" w:w="3130"/>
            <w:tcBorders>
              <w:top w:val="single" w:color="C0C8D0" w:sz="1"/>
              <w:left w:val="single" w:color="C0C8D0" w:sz="1"/>
              <w:bottom w:val="single" w:color="C0C8D0" w:sz="1"/>
              <w:right w:val="single" w:color="C0C8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Standard in most policies</w:t>
            </w:r>
          </w:p>
        </w:tc>
        <w:tc>
          <w:tcPr>
            <w:tcW w:type="dxa" w:w="3330"/>
            <w:tcBorders>
              <w:top w:val="single" w:color="C0C8D0" w:sz="1"/>
              <w:left w:val="single" w:color="C0C8D0" w:sz="1"/>
              <w:bottom w:val="single" w:color="C0C8D0" w:sz="1"/>
              <w:right w:val="single" w:color="C0C8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Guest passenger liability often separate endorsement</w:t>
            </w:r>
          </w:p>
        </w:tc>
      </w:tr>
      <w:tr>
        <w:tc>
          <w:tcPr>
            <w:tcW w:type="dxa" w:w="2900"/>
            <w:tcBorders>
              <w:top w:val="single" w:color="C0C8D0" w:sz="1"/>
              <w:left w:val="single" w:color="C0C8D0" w:sz="1"/>
              <w:bottom w:val="single" w:color="C0C8D0" w:sz="1"/>
              <w:right w:val="single" w:color="C0C8D0" w:sz="1"/>
            </w:tcBorders>
            <w:shd w:fill="F2F4F6" w:val="clear"/>
            <w:tcMar>
              <w:top w:type="dxa" w:w="80"/>
              <w:left w:type="dxa" w:w="160"/>
              <w:bottom w:type="dxa" w:w="80"/>
              <w:right w:type="dxa" w:w="160"/>
            </w:tcMar>
          </w:tcPr>
          <w:p>
            <w:pPr>
              <w:spacing w:after="0" w:before="0"/>
            </w:pPr>
            <w:r>
              <w:rPr>
                <w:rFonts w:ascii="Arial" w:cs="Arial" w:eastAsia="Arial" w:hAnsi="Arial"/>
                <w:b/>
                <w:bCs/>
                <w:color w:val="1A1A1A"/>
                <w:sz w:val="20"/>
                <w:szCs w:val="20"/>
              </w:rPr>
              <w:t xml:space="preserve">Racing exclusions</w:t>
            </w:r>
          </w:p>
        </w:tc>
        <w:tc>
          <w:tcPr>
            <w:tcW w:type="dxa" w:w="3130"/>
            <w:tcBorders>
              <w:top w:val="single" w:color="C0C8D0" w:sz="1"/>
              <w:left w:val="single" w:color="C0C8D0" w:sz="1"/>
              <w:bottom w:val="single" w:color="C0C8D0" w:sz="1"/>
              <w:right w:val="single" w:color="C0C8D0" w:sz="1"/>
            </w:tcBorders>
            <w:shd w:fill="F2F4F6"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Standard exclusion</w:t>
            </w:r>
          </w:p>
        </w:tc>
        <w:tc>
          <w:tcPr>
            <w:tcW w:type="dxa" w:w="3330"/>
            <w:tcBorders>
              <w:top w:val="single" w:color="C0C8D0" w:sz="1"/>
              <w:left w:val="single" w:color="C0C8D0" w:sz="1"/>
              <w:bottom w:val="single" w:color="C0C8D0" w:sz="1"/>
              <w:right w:val="single" w:color="C0C8D0" w:sz="1"/>
            </w:tcBorders>
            <w:shd w:fill="F2F4F6"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Track day and racing exclusions more prominent</w:t>
            </w:r>
          </w:p>
        </w:tc>
      </w:tr>
      <w:tr>
        <w:tc>
          <w:tcPr>
            <w:tcW w:type="dxa" w:w="2900"/>
            <w:tcBorders>
              <w:top w:val="single" w:color="C0C8D0" w:sz="1"/>
              <w:left w:val="single" w:color="C0C8D0" w:sz="1"/>
              <w:bottom w:val="single" w:color="C0C8D0" w:sz="1"/>
              <w:right w:val="single" w:color="C0C8D0" w:sz="1"/>
            </w:tcBorders>
            <w:shd w:fill="FFFFFF" w:val="clear"/>
            <w:tcMar>
              <w:top w:type="dxa" w:w="80"/>
              <w:left w:type="dxa" w:w="160"/>
              <w:bottom w:type="dxa" w:w="80"/>
              <w:right w:type="dxa" w:w="160"/>
            </w:tcMar>
          </w:tcPr>
          <w:p>
            <w:pPr>
              <w:spacing w:after="0" w:before="0"/>
            </w:pPr>
            <w:r>
              <w:rPr>
                <w:rFonts w:ascii="Arial" w:cs="Arial" w:eastAsia="Arial" w:hAnsi="Arial"/>
                <w:b/>
                <w:bCs/>
                <w:color w:val="1A1A1A"/>
                <w:sz w:val="20"/>
                <w:szCs w:val="20"/>
              </w:rPr>
              <w:t xml:space="preserve">Coverage for stunt riding</w:t>
            </w:r>
          </w:p>
        </w:tc>
        <w:tc>
          <w:tcPr>
            <w:tcW w:type="dxa" w:w="3130"/>
            <w:tcBorders>
              <w:top w:val="single" w:color="C0C8D0" w:sz="1"/>
              <w:left w:val="single" w:color="C0C8D0" w:sz="1"/>
              <w:bottom w:val="single" w:color="C0C8D0" w:sz="1"/>
              <w:right w:val="single" w:color="C0C8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Excluded</w:t>
            </w:r>
          </w:p>
        </w:tc>
        <w:tc>
          <w:tcPr>
            <w:tcW w:type="dxa" w:w="3330"/>
            <w:tcBorders>
              <w:top w:val="single" w:color="C0C8D0" w:sz="1"/>
              <w:left w:val="single" w:color="C0C8D0" w:sz="1"/>
              <w:bottom w:val="single" w:color="C0C8D0" w:sz="1"/>
              <w:right w:val="single" w:color="C0C8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Typically excluded; stunt use voids coverage</w:t>
            </w:r>
          </w:p>
        </w:tc>
      </w:tr>
      <w:tr>
        <w:tc>
          <w:tcPr>
            <w:tcW w:type="dxa" w:w="2900"/>
            <w:tcBorders>
              <w:top w:val="single" w:color="C0C8D0" w:sz="1"/>
              <w:left w:val="single" w:color="C0C8D0" w:sz="1"/>
              <w:bottom w:val="single" w:color="C0C8D0" w:sz="1"/>
              <w:right w:val="single" w:color="C0C8D0" w:sz="1"/>
            </w:tcBorders>
            <w:shd w:fill="F2F4F6" w:val="clear"/>
            <w:tcMar>
              <w:top w:type="dxa" w:w="80"/>
              <w:left w:type="dxa" w:w="160"/>
              <w:bottom w:type="dxa" w:w="80"/>
              <w:right w:type="dxa" w:w="160"/>
            </w:tcMar>
          </w:tcPr>
          <w:p>
            <w:pPr>
              <w:spacing w:after="0" w:before="0"/>
            </w:pPr>
            <w:r>
              <w:rPr>
                <w:rFonts w:ascii="Arial" w:cs="Arial" w:eastAsia="Arial" w:hAnsi="Arial"/>
                <w:b/>
                <w:bCs/>
                <w:color w:val="1A1A1A"/>
                <w:sz w:val="20"/>
                <w:szCs w:val="20"/>
              </w:rPr>
              <w:t xml:space="preserve">Lane splitting</w:t>
            </w:r>
          </w:p>
        </w:tc>
        <w:tc>
          <w:tcPr>
            <w:tcW w:type="dxa" w:w="3130"/>
            <w:tcBorders>
              <w:top w:val="single" w:color="C0C8D0" w:sz="1"/>
              <w:left w:val="single" w:color="C0C8D0" w:sz="1"/>
              <w:bottom w:val="single" w:color="C0C8D0" w:sz="1"/>
              <w:right w:val="single" w:color="C0C8D0" w:sz="1"/>
            </w:tcBorders>
            <w:shd w:fill="F2F4F6"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Not applicable</w:t>
            </w:r>
          </w:p>
        </w:tc>
        <w:tc>
          <w:tcPr>
            <w:tcW w:type="dxa" w:w="3330"/>
            <w:tcBorders>
              <w:top w:val="single" w:color="C0C8D0" w:sz="1"/>
              <w:left w:val="single" w:color="C0C8D0" w:sz="1"/>
              <w:bottom w:val="single" w:color="C0C8D0" w:sz="1"/>
              <w:right w:val="single" w:color="C0C8D0" w:sz="1"/>
            </w:tcBorders>
            <w:shd w:fill="F2F4F6"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Coverage implications vary by state law</w:t>
            </w:r>
          </w:p>
        </w:tc>
      </w:tr>
    </w:tbl>
    <w:p>
      <w:pPr>
        <w:spacing w:after="0" w:before="120"/>
      </w:pPr>
      <w:r>
        <w:rPr>
          <w:rFonts w:ascii="Arial" w:cs="Arial" w:eastAsia="Arial" w:hAnsi="Arial"/>
        </w:rPr>
        <w:t xml:space="preserve"/>
      </w:r>
    </w:p>
    <w:p>
      <w:pPr>
        <w:pBdr>
          <w:bottom w:val="single" w:color="F0C4A8" w:sz="4" w:space="4"/>
        </w:pBdr>
        <w:spacing w:after="80" w:before="220"/>
      </w:pPr>
      <w:r>
        <w:rPr>
          <w:rFonts w:ascii="Arial" w:cs="Arial" w:eastAsia="Arial" w:hAnsi="Arial"/>
          <w:b/>
          <w:bCs/>
          <w:color w:val="2C2C2C"/>
          <w:sz w:val="24"/>
          <w:szCs w:val="24"/>
        </w:rPr>
        <w:t xml:space="preserve">The Higher Risk Reality</w:t>
      </w:r>
    </w:p>
    <w:p>
      <w:pPr>
        <w:spacing w:after="110" w:before="80"/>
      </w:pPr>
      <w:r>
        <w:rPr>
          <w:rFonts w:ascii="Arial" w:cs="Arial" w:eastAsia="Arial" w:hAnsi="Arial"/>
          <w:color w:val="1A1A1A"/>
          <w:sz w:val="22"/>
          <w:szCs w:val="22"/>
        </w:rPr>
        <w:t xml:space="preserve">The fundamental reason motorcycle insurance is a separate product is that motorcycles represent a substantially different risk profile than automobiles. Motorcyclists are significantly more likely to be injured or killed per mile traveled than automobile occupants. The open-air nature of motorcycle riding means that even low-speed accidents can result in serious injuries, and the physical dynamics of two-wheeled vehicles create accident scenarios that simply do not occur with four-wheeled cars.</w:t>
      </w:r>
    </w:p>
    <w:p>
      <w:pPr>
        <w:spacing w:after="0" w:before="80"/>
      </w:pPr>
      <w:r>
        <w:rPr>
          <w:rFonts w:ascii="Arial" w:cs="Arial" w:eastAsia="Arial" w:hAnsi="Arial"/>
        </w:rPr>
        <w:t xml:space="preserve"/>
      </w:r>
    </w:p>
    <w:p>
      <w:pPr>
        <w:spacing w:after="110" w:before="80"/>
      </w:pPr>
      <w:r>
        <w:rPr>
          <w:rFonts w:ascii="Arial" w:cs="Arial" w:eastAsia="Arial" w:hAnsi="Arial"/>
          <w:color w:val="1A1A1A"/>
          <w:sz w:val="22"/>
          <w:szCs w:val="22"/>
        </w:rPr>
        <w:t xml:space="preserve">This elevated risk profile affects every aspect of motorcycle insurance — from underwriting and premium calculation to coverage terms and claims handling. It is also why standard auto insurance policies explicitly exclude motorcycles and why a dedicated motorcycle policy is essential for any rider.</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B1A1A" w:sz="18"/>
              <w:bottom w:val="none" w:color="FFFFFF" w:sz="0"/>
              <w:right w:val="none" w:color="FFFFFF" w:sz="0"/>
            </w:tcBorders>
            <w:shd w:fill="FDF0F0" w:val="clear"/>
            <w:tcMar>
              <w:top w:type="dxa" w:w="110"/>
              <w:left w:type="dxa" w:w="200"/>
              <w:bottom w:type="dxa" w:w="110"/>
              <w:right w:type="dxa" w:w="160"/>
            </w:tcMar>
          </w:tcPr>
          <w:p>
            <w:pPr>
              <w:spacing w:after="60" w:before="0"/>
            </w:pPr>
            <w:r>
              <w:rPr>
                <w:rFonts w:ascii="Arial" w:cs="Arial" w:eastAsia="Arial" w:hAnsi="Arial"/>
                <w:b/>
                <w:bCs/>
                <w:caps/>
                <w:color w:val="8B1A1A"/>
                <w:sz w:val="19"/>
                <w:szCs w:val="19"/>
              </w:rPr>
              <w:t xml:space="preserve">Do Not Rely on Your Auto Policy for Motorcycle Coverage</w:t>
            </w:r>
          </w:p>
          <w:p>
            <w:pPr>
              <w:spacing w:after="0" w:before="0"/>
            </w:pPr>
            <w:r>
              <w:rPr>
                <w:rFonts w:ascii="Arial" w:cs="Arial" w:eastAsia="Arial" w:hAnsi="Arial"/>
                <w:color w:val="5A1010"/>
                <w:sz w:val="20"/>
                <w:szCs w:val="20"/>
              </w:rPr>
              <w:t xml:space="preserve">Standard personal auto insurance policies contain explicit exclusions for motorcycles and other motorized vehicles with fewer than four wheels. If you are involved in a motorcycle accident and your only insurance is a standard auto policy, you will have no coverage for the incident — regardless of fault.</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2C2C2C" w:val="clear"/>
            <w:tcMar>
              <w:top w:type="dxa" w:w="160"/>
              <w:left w:type="dxa" w:w="240"/>
              <w:bottom w:type="dxa" w:w="160"/>
              <w:right w:type="dxa" w:w="240"/>
            </w:tcMar>
          </w:tcPr>
          <w:p>
            <w:pPr>
              <w:spacing w:after="0" w:before="0"/>
            </w:pPr>
            <w:r>
              <w:rPr>
                <w:rFonts w:ascii="Arial" w:cs="Arial" w:eastAsia="Arial" w:hAnsi="Arial"/>
                <w:b/>
                <w:bCs/>
                <w:color w:val="D4621A"/>
                <w:sz w:val="28"/>
                <w:szCs w:val="28"/>
              </w:rPr>
              <w:t xml:space="preserve">3.  </w:t>
            </w:r>
            <w:r>
              <w:rPr>
                <w:rFonts w:ascii="Arial" w:cs="Arial" w:eastAsia="Arial" w:hAnsi="Arial"/>
                <w:b/>
                <w:bCs/>
                <w:color w:val="FFFFFF"/>
                <w:sz w:val="28"/>
                <w:szCs w:val="28"/>
              </w:rPr>
              <w:t xml:space="preserve">State Minimum Motorcycle Insurance Requirements</w:t>
            </w:r>
          </w:p>
        </w:tc>
      </w:tr>
    </w:tbl>
    <w:p>
      <w:pPr>
        <w:spacing w:after="0" w:before="100"/>
      </w:pPr>
      <w:r>
        <w:rPr>
          <w:rFonts w:ascii="Arial" w:cs="Arial" w:eastAsia="Arial" w:hAnsi="Arial"/>
        </w:rPr>
        <w:t xml:space="preserve"/>
      </w:r>
    </w:p>
    <w:p>
      <w:pPr>
        <w:spacing w:after="110" w:before="80"/>
      </w:pPr>
      <w:r>
        <w:rPr>
          <w:rFonts w:ascii="Arial" w:cs="Arial" w:eastAsia="Arial" w:hAnsi="Arial"/>
          <w:color w:val="1A1A1A"/>
          <w:sz w:val="22"/>
          <w:szCs w:val="22"/>
        </w:rPr>
        <w:t xml:space="preserve">Most states require motorcyclists to carry a minimum level of liability insurance as a condition of legally operating a motorcycle on public roads. These minimums establish the floor of required coverage — not the recommended level of protection. State minimums vary significantly and are almost universally considered insufficient for serious accidents.</w:t>
      </w:r>
    </w:p>
    <w:p>
      <w:pPr>
        <w:spacing w:after="0" w:before="80"/>
      </w:pPr>
      <w:r>
        <w:rPr>
          <w:rFonts w:ascii="Arial" w:cs="Arial" w:eastAsia="Arial" w:hAnsi="Arial"/>
        </w:rPr>
        <w:t xml:space="preserve"/>
      </w:r>
    </w:p>
    <w:p>
      <w:pPr>
        <w:spacing w:after="110" w:before="80"/>
      </w:pPr>
      <w:r>
        <w:rPr>
          <w:rFonts w:ascii="Arial" w:cs="Arial" w:eastAsia="Arial" w:hAnsi="Arial"/>
          <w:color w:val="1A1A1A"/>
          <w:sz w:val="22"/>
          <w:szCs w:val="22"/>
        </w:rPr>
        <w:t xml:space="preserve">Motorcycle minimum insurance requirements generally mirror each state’s minimum auto liability requirements, though some states set different thresholds for motorcycles. The most common requirement structure uses split limits: a per-person bodily injury limit, a per-accident bodily injury limit, and a property damage limit.</w:t>
      </w:r>
    </w:p>
    <w:p>
      <w:pPr>
        <w:spacing w:after="0" w:before="100"/>
      </w:pPr>
      <w:r>
        <w:rPr>
          <w:rFonts w:ascii="Arial" w:cs="Arial" w:eastAsia="Arial" w:hAnsi="Arial"/>
        </w:rPr>
        <w:t xml:space="preserve"/>
      </w:r>
    </w:p>
    <w:p>
      <w:pPr>
        <w:pBdr>
          <w:bottom w:val="single" w:color="F0C4A8" w:sz="4" w:space="4"/>
        </w:pBdr>
        <w:spacing w:after="80" w:before="220"/>
      </w:pPr>
      <w:r>
        <w:rPr>
          <w:rFonts w:ascii="Arial" w:cs="Arial" w:eastAsia="Arial" w:hAnsi="Arial"/>
          <w:b/>
          <w:bCs/>
          <w:color w:val="2C2C2C"/>
          <w:sz w:val="24"/>
          <w:szCs w:val="24"/>
        </w:rPr>
        <w:t xml:space="preserve">Representative State Minimum Requirements</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2380"/>
        <w:gridCol w:w="2380"/>
        <w:gridCol w:w="2400"/>
      </w:tblGrid>
      <w:tr>
        <w:tc>
          <w:tcPr>
            <w:tcW w:type="dxa" w:w="2200"/>
            <w:tcBorders>
              <w:top w:val="none" w:color="FFFFFF" w:sz="0"/>
              <w:left w:val="none" w:color="FFFFFF" w:sz="0"/>
              <w:bottom w:val="none" w:color="FFFFFF" w:sz="0"/>
              <w:right w:val="none" w:color="FFFFFF" w:sz="0"/>
            </w:tcBorders>
            <w:shd w:fill="2C2C2C" w:val="clear"/>
            <w:tcMar>
              <w:top w:type="dxa" w:w="100"/>
              <w:left w:type="dxa" w:w="140"/>
              <w:bottom w:type="dxa" w:w="100"/>
              <w:right w:type="dxa" w:w="140"/>
            </w:tcMar>
          </w:tcPr>
          <w:p>
            <w:pPr>
              <w:spacing w:after="0" w:before="0"/>
            </w:pPr>
            <w:r>
              <w:rPr>
                <w:rFonts w:ascii="Arial" w:cs="Arial" w:eastAsia="Arial" w:hAnsi="Arial"/>
                <w:b/>
                <w:bCs/>
                <w:color w:val="FFFFFF"/>
                <w:sz w:val="19"/>
                <w:szCs w:val="19"/>
              </w:rPr>
              <w:t xml:space="preserve">State</w:t>
            </w:r>
          </w:p>
        </w:tc>
        <w:tc>
          <w:tcPr>
            <w:tcW w:type="dxa" w:w="2380"/>
            <w:tcBorders>
              <w:top w:val="none" w:color="FFFFFF" w:sz="0"/>
              <w:left w:val="none" w:color="FFFFFF" w:sz="0"/>
              <w:bottom w:val="none" w:color="FFFFFF" w:sz="0"/>
              <w:right w:val="none" w:color="FFFFFF" w:sz="0"/>
            </w:tcBorders>
            <w:shd w:fill="2C2C2C" w:val="clear"/>
            <w:tcMar>
              <w:top w:type="dxa" w:w="100"/>
              <w:left w:type="dxa" w:w="140"/>
              <w:bottom w:type="dxa" w:w="100"/>
              <w:right w:type="dxa" w:w="140"/>
            </w:tcMar>
          </w:tcPr>
          <w:p>
            <w:pPr>
              <w:spacing w:after="0" w:before="0"/>
            </w:pPr>
            <w:r>
              <w:rPr>
                <w:rFonts w:ascii="Arial" w:cs="Arial" w:eastAsia="Arial" w:hAnsi="Arial"/>
                <w:b/>
                <w:bCs/>
                <w:color w:val="FFFFFF"/>
                <w:sz w:val="19"/>
                <w:szCs w:val="19"/>
              </w:rPr>
              <w:t xml:space="preserve">Bodily Injury (per person)</w:t>
            </w:r>
          </w:p>
        </w:tc>
        <w:tc>
          <w:tcPr>
            <w:tcW w:type="dxa" w:w="2380"/>
            <w:tcBorders>
              <w:top w:val="none" w:color="FFFFFF" w:sz="0"/>
              <w:left w:val="none" w:color="FFFFFF" w:sz="0"/>
              <w:bottom w:val="none" w:color="FFFFFF" w:sz="0"/>
              <w:right w:val="none" w:color="FFFFFF" w:sz="0"/>
            </w:tcBorders>
            <w:shd w:fill="2C2C2C" w:val="clear"/>
            <w:tcMar>
              <w:top w:type="dxa" w:w="100"/>
              <w:left w:type="dxa" w:w="140"/>
              <w:bottom w:type="dxa" w:w="100"/>
              <w:right w:type="dxa" w:w="140"/>
            </w:tcMar>
          </w:tcPr>
          <w:p>
            <w:pPr>
              <w:spacing w:after="0" w:before="0"/>
            </w:pPr>
            <w:r>
              <w:rPr>
                <w:rFonts w:ascii="Arial" w:cs="Arial" w:eastAsia="Arial" w:hAnsi="Arial"/>
                <w:b/>
                <w:bCs/>
                <w:color w:val="FFFFFF"/>
                <w:sz w:val="19"/>
                <w:szCs w:val="19"/>
              </w:rPr>
              <w:t xml:space="preserve">Bodily Injury (per accident)</w:t>
            </w:r>
          </w:p>
        </w:tc>
        <w:tc>
          <w:tcPr>
            <w:tcW w:type="dxa" w:w="2400"/>
            <w:tcBorders>
              <w:top w:val="none" w:color="FFFFFF" w:sz="0"/>
              <w:left w:val="none" w:color="FFFFFF" w:sz="0"/>
              <w:bottom w:val="none" w:color="FFFFFF" w:sz="0"/>
              <w:right w:val="none" w:color="FFFFFF" w:sz="0"/>
            </w:tcBorders>
            <w:shd w:fill="2C2C2C" w:val="clear"/>
            <w:tcMar>
              <w:top w:type="dxa" w:w="100"/>
              <w:left w:type="dxa" w:w="140"/>
              <w:bottom w:type="dxa" w:w="100"/>
              <w:right w:type="dxa" w:w="140"/>
            </w:tcMar>
          </w:tcPr>
          <w:p>
            <w:pPr>
              <w:spacing w:after="0" w:before="0"/>
            </w:pPr>
            <w:r>
              <w:rPr>
                <w:rFonts w:ascii="Arial" w:cs="Arial" w:eastAsia="Arial" w:hAnsi="Arial"/>
                <w:b/>
                <w:bCs/>
                <w:color w:val="FFFFFF"/>
                <w:sz w:val="19"/>
                <w:szCs w:val="19"/>
              </w:rPr>
              <w:t xml:space="preserve">Property Damage</w:t>
            </w:r>
          </w:p>
        </w:tc>
      </w:tr>
      <w:tr>
        <w:tc>
          <w:tcPr>
            <w:tcW w:type="dxa" w:w="2200"/>
            <w:tcBorders>
              <w:top w:val="single" w:color="C0C8D0" w:sz="1"/>
              <w:left w:val="single" w:color="C0C8D0" w:sz="1"/>
              <w:bottom w:val="single" w:color="C0C8D0" w:sz="1"/>
              <w:right w:val="single" w:color="C0C8D0" w:sz="1"/>
            </w:tcBorders>
            <w:shd w:fill="FFFFFF" w:val="clear"/>
            <w:tcMar>
              <w:top w:type="dxa" w:w="80"/>
              <w:left w:type="dxa" w:w="140"/>
              <w:bottom w:type="dxa" w:w="80"/>
              <w:right w:type="dxa" w:w="140"/>
            </w:tcMar>
          </w:tcPr>
          <w:p>
            <w:pPr>
              <w:spacing w:after="0" w:before="0"/>
            </w:pPr>
            <w:r>
              <w:rPr>
                <w:rFonts w:ascii="Arial" w:cs="Arial" w:eastAsia="Arial" w:hAnsi="Arial"/>
                <w:b/>
                <w:bCs/>
                <w:color w:val="1A1A1A"/>
                <w:sz w:val="19"/>
                <w:szCs w:val="19"/>
              </w:rPr>
              <w:t xml:space="preserve">California</w:t>
            </w:r>
          </w:p>
        </w:tc>
        <w:tc>
          <w:tcPr>
            <w:tcW w:type="dxa" w:w="2380"/>
            <w:tcBorders>
              <w:top w:val="single" w:color="C0C8D0" w:sz="1"/>
              <w:left w:val="single" w:color="C0C8D0" w:sz="1"/>
              <w:bottom w:val="single" w:color="C0C8D0" w:sz="1"/>
              <w:right w:val="single" w:color="C0C8D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3C3C3C"/>
                <w:sz w:val="19"/>
                <w:szCs w:val="19"/>
              </w:rPr>
              <w:t xml:space="preserve">$15,000</w:t>
            </w:r>
          </w:p>
        </w:tc>
        <w:tc>
          <w:tcPr>
            <w:tcW w:type="dxa" w:w="2380"/>
            <w:tcBorders>
              <w:top w:val="single" w:color="C0C8D0" w:sz="1"/>
              <w:left w:val="single" w:color="C0C8D0" w:sz="1"/>
              <w:bottom w:val="single" w:color="C0C8D0" w:sz="1"/>
              <w:right w:val="single" w:color="C0C8D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3C3C3C"/>
                <w:sz w:val="19"/>
                <w:szCs w:val="19"/>
              </w:rPr>
              <w:t xml:space="preserve">$30,000</w:t>
            </w:r>
          </w:p>
        </w:tc>
        <w:tc>
          <w:tcPr>
            <w:tcW w:type="dxa" w:w="2400"/>
            <w:tcBorders>
              <w:top w:val="single" w:color="C0C8D0" w:sz="1"/>
              <w:left w:val="single" w:color="C0C8D0" w:sz="1"/>
              <w:bottom w:val="single" w:color="C0C8D0" w:sz="1"/>
              <w:right w:val="single" w:color="C0C8D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3C3C3C"/>
                <w:sz w:val="19"/>
                <w:szCs w:val="19"/>
              </w:rPr>
              <w:t xml:space="preserve">$5,000</w:t>
            </w:r>
          </w:p>
        </w:tc>
      </w:tr>
      <w:tr>
        <w:tc>
          <w:tcPr>
            <w:tcW w:type="dxa" w:w="2200"/>
            <w:tcBorders>
              <w:top w:val="single" w:color="C0C8D0" w:sz="1"/>
              <w:left w:val="single" w:color="C0C8D0" w:sz="1"/>
              <w:bottom w:val="single" w:color="C0C8D0" w:sz="1"/>
              <w:right w:val="single" w:color="C0C8D0" w:sz="1"/>
            </w:tcBorders>
            <w:shd w:fill="F2F4F6" w:val="clear"/>
            <w:tcMar>
              <w:top w:type="dxa" w:w="80"/>
              <w:left w:type="dxa" w:w="140"/>
              <w:bottom w:type="dxa" w:w="80"/>
              <w:right w:type="dxa" w:w="140"/>
            </w:tcMar>
          </w:tcPr>
          <w:p>
            <w:pPr>
              <w:spacing w:after="0" w:before="0"/>
            </w:pPr>
            <w:r>
              <w:rPr>
                <w:rFonts w:ascii="Arial" w:cs="Arial" w:eastAsia="Arial" w:hAnsi="Arial"/>
                <w:b/>
                <w:bCs/>
                <w:color w:val="1A1A1A"/>
                <w:sz w:val="19"/>
                <w:szCs w:val="19"/>
              </w:rPr>
              <w:t xml:space="preserve">Florida</w:t>
            </w:r>
          </w:p>
        </w:tc>
        <w:tc>
          <w:tcPr>
            <w:tcW w:type="dxa" w:w="2380"/>
            <w:tcBorders>
              <w:top w:val="single" w:color="C0C8D0" w:sz="1"/>
              <w:left w:val="single" w:color="C0C8D0" w:sz="1"/>
              <w:bottom w:val="single" w:color="C0C8D0" w:sz="1"/>
              <w:right w:val="single" w:color="C0C8D0" w:sz="1"/>
            </w:tcBorders>
            <w:shd w:fill="F2F4F6" w:val="clear"/>
            <w:tcMar>
              <w:top w:type="dxa" w:w="80"/>
              <w:left w:type="dxa" w:w="140"/>
              <w:bottom w:type="dxa" w:w="80"/>
              <w:right w:type="dxa" w:w="140"/>
            </w:tcMar>
          </w:tcPr>
          <w:p>
            <w:pPr>
              <w:spacing w:after="0" w:before="0"/>
            </w:pPr>
            <w:r>
              <w:rPr>
                <w:rFonts w:ascii="Arial" w:cs="Arial" w:eastAsia="Arial" w:hAnsi="Arial"/>
                <w:b w:val="false"/>
                <w:bCs w:val="false"/>
                <w:color w:val="3C3C3C"/>
                <w:sz w:val="19"/>
                <w:szCs w:val="19"/>
              </w:rPr>
              <w:t xml:space="preserve">No BI req.</w:t>
            </w:r>
          </w:p>
        </w:tc>
        <w:tc>
          <w:tcPr>
            <w:tcW w:type="dxa" w:w="2380"/>
            <w:tcBorders>
              <w:top w:val="single" w:color="C0C8D0" w:sz="1"/>
              <w:left w:val="single" w:color="C0C8D0" w:sz="1"/>
              <w:bottom w:val="single" w:color="C0C8D0" w:sz="1"/>
              <w:right w:val="single" w:color="C0C8D0" w:sz="1"/>
            </w:tcBorders>
            <w:shd w:fill="F2F4F6" w:val="clear"/>
            <w:tcMar>
              <w:top w:type="dxa" w:w="80"/>
              <w:left w:type="dxa" w:w="140"/>
              <w:bottom w:type="dxa" w:w="80"/>
              <w:right w:type="dxa" w:w="140"/>
            </w:tcMar>
          </w:tcPr>
          <w:p>
            <w:pPr>
              <w:spacing w:after="0" w:before="0"/>
            </w:pPr>
            <w:r>
              <w:rPr>
                <w:rFonts w:ascii="Arial" w:cs="Arial" w:eastAsia="Arial" w:hAnsi="Arial"/>
                <w:b w:val="false"/>
                <w:bCs w:val="false"/>
                <w:color w:val="3C3C3C"/>
                <w:sz w:val="19"/>
                <w:szCs w:val="19"/>
              </w:rPr>
              <w:t xml:space="preserve">No BI req.</w:t>
            </w:r>
          </w:p>
        </w:tc>
        <w:tc>
          <w:tcPr>
            <w:tcW w:type="dxa" w:w="2400"/>
            <w:tcBorders>
              <w:top w:val="single" w:color="C0C8D0" w:sz="1"/>
              <w:left w:val="single" w:color="C0C8D0" w:sz="1"/>
              <w:bottom w:val="single" w:color="C0C8D0" w:sz="1"/>
              <w:right w:val="single" w:color="C0C8D0" w:sz="1"/>
            </w:tcBorders>
            <w:shd w:fill="F2F4F6" w:val="clear"/>
            <w:tcMar>
              <w:top w:type="dxa" w:w="80"/>
              <w:left w:type="dxa" w:w="140"/>
              <w:bottom w:type="dxa" w:w="80"/>
              <w:right w:type="dxa" w:w="140"/>
            </w:tcMar>
          </w:tcPr>
          <w:p>
            <w:pPr>
              <w:spacing w:after="0" w:before="0"/>
            </w:pPr>
            <w:r>
              <w:rPr>
                <w:rFonts w:ascii="Arial" w:cs="Arial" w:eastAsia="Arial" w:hAnsi="Arial"/>
                <w:b w:val="false"/>
                <w:bCs w:val="false"/>
                <w:color w:val="3C3C3C"/>
                <w:sz w:val="19"/>
                <w:szCs w:val="19"/>
              </w:rPr>
              <w:t xml:space="preserve">$10,000 PD only</w:t>
            </w:r>
          </w:p>
        </w:tc>
      </w:tr>
      <w:tr>
        <w:tc>
          <w:tcPr>
            <w:tcW w:type="dxa" w:w="2200"/>
            <w:tcBorders>
              <w:top w:val="single" w:color="C0C8D0" w:sz="1"/>
              <w:left w:val="single" w:color="C0C8D0" w:sz="1"/>
              <w:bottom w:val="single" w:color="C0C8D0" w:sz="1"/>
              <w:right w:val="single" w:color="C0C8D0" w:sz="1"/>
            </w:tcBorders>
            <w:shd w:fill="FFFFFF" w:val="clear"/>
            <w:tcMar>
              <w:top w:type="dxa" w:w="80"/>
              <w:left w:type="dxa" w:w="140"/>
              <w:bottom w:type="dxa" w:w="80"/>
              <w:right w:type="dxa" w:w="140"/>
            </w:tcMar>
          </w:tcPr>
          <w:p>
            <w:pPr>
              <w:spacing w:after="0" w:before="0"/>
            </w:pPr>
            <w:r>
              <w:rPr>
                <w:rFonts w:ascii="Arial" w:cs="Arial" w:eastAsia="Arial" w:hAnsi="Arial"/>
                <w:b/>
                <w:bCs/>
                <w:color w:val="1A1A1A"/>
                <w:sz w:val="19"/>
                <w:szCs w:val="19"/>
              </w:rPr>
              <w:t xml:space="preserve">Texas</w:t>
            </w:r>
          </w:p>
        </w:tc>
        <w:tc>
          <w:tcPr>
            <w:tcW w:type="dxa" w:w="2380"/>
            <w:tcBorders>
              <w:top w:val="single" w:color="C0C8D0" w:sz="1"/>
              <w:left w:val="single" w:color="C0C8D0" w:sz="1"/>
              <w:bottom w:val="single" w:color="C0C8D0" w:sz="1"/>
              <w:right w:val="single" w:color="C0C8D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3C3C3C"/>
                <w:sz w:val="19"/>
                <w:szCs w:val="19"/>
              </w:rPr>
              <w:t xml:space="preserve">$30,000</w:t>
            </w:r>
          </w:p>
        </w:tc>
        <w:tc>
          <w:tcPr>
            <w:tcW w:type="dxa" w:w="2380"/>
            <w:tcBorders>
              <w:top w:val="single" w:color="C0C8D0" w:sz="1"/>
              <w:left w:val="single" w:color="C0C8D0" w:sz="1"/>
              <w:bottom w:val="single" w:color="C0C8D0" w:sz="1"/>
              <w:right w:val="single" w:color="C0C8D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3C3C3C"/>
                <w:sz w:val="19"/>
                <w:szCs w:val="19"/>
              </w:rPr>
              <w:t xml:space="preserve">$60,000</w:t>
            </w:r>
          </w:p>
        </w:tc>
        <w:tc>
          <w:tcPr>
            <w:tcW w:type="dxa" w:w="2400"/>
            <w:tcBorders>
              <w:top w:val="single" w:color="C0C8D0" w:sz="1"/>
              <w:left w:val="single" w:color="C0C8D0" w:sz="1"/>
              <w:bottom w:val="single" w:color="C0C8D0" w:sz="1"/>
              <w:right w:val="single" w:color="C0C8D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3C3C3C"/>
                <w:sz w:val="19"/>
                <w:szCs w:val="19"/>
              </w:rPr>
              <w:t xml:space="preserve">$25,000</w:t>
            </w:r>
          </w:p>
        </w:tc>
      </w:tr>
      <w:tr>
        <w:tc>
          <w:tcPr>
            <w:tcW w:type="dxa" w:w="2200"/>
            <w:tcBorders>
              <w:top w:val="single" w:color="C0C8D0" w:sz="1"/>
              <w:left w:val="single" w:color="C0C8D0" w:sz="1"/>
              <w:bottom w:val="single" w:color="C0C8D0" w:sz="1"/>
              <w:right w:val="single" w:color="C0C8D0" w:sz="1"/>
            </w:tcBorders>
            <w:shd w:fill="F2F4F6" w:val="clear"/>
            <w:tcMar>
              <w:top w:type="dxa" w:w="80"/>
              <w:left w:type="dxa" w:w="140"/>
              <w:bottom w:type="dxa" w:w="80"/>
              <w:right w:type="dxa" w:w="140"/>
            </w:tcMar>
          </w:tcPr>
          <w:p>
            <w:pPr>
              <w:spacing w:after="0" w:before="0"/>
            </w:pPr>
            <w:r>
              <w:rPr>
                <w:rFonts w:ascii="Arial" w:cs="Arial" w:eastAsia="Arial" w:hAnsi="Arial"/>
                <w:b/>
                <w:bCs/>
                <w:color w:val="1A1A1A"/>
                <w:sz w:val="19"/>
                <w:szCs w:val="19"/>
              </w:rPr>
              <w:t xml:space="preserve">New York</w:t>
            </w:r>
          </w:p>
        </w:tc>
        <w:tc>
          <w:tcPr>
            <w:tcW w:type="dxa" w:w="2380"/>
            <w:tcBorders>
              <w:top w:val="single" w:color="C0C8D0" w:sz="1"/>
              <w:left w:val="single" w:color="C0C8D0" w:sz="1"/>
              <w:bottom w:val="single" w:color="C0C8D0" w:sz="1"/>
              <w:right w:val="single" w:color="C0C8D0" w:sz="1"/>
            </w:tcBorders>
            <w:shd w:fill="F2F4F6" w:val="clear"/>
            <w:tcMar>
              <w:top w:type="dxa" w:w="80"/>
              <w:left w:type="dxa" w:w="140"/>
              <w:bottom w:type="dxa" w:w="80"/>
              <w:right w:type="dxa" w:w="140"/>
            </w:tcMar>
          </w:tcPr>
          <w:p>
            <w:pPr>
              <w:spacing w:after="0" w:before="0"/>
            </w:pPr>
            <w:r>
              <w:rPr>
                <w:rFonts w:ascii="Arial" w:cs="Arial" w:eastAsia="Arial" w:hAnsi="Arial"/>
                <w:b w:val="false"/>
                <w:bCs w:val="false"/>
                <w:color w:val="3C3C3C"/>
                <w:sz w:val="19"/>
                <w:szCs w:val="19"/>
              </w:rPr>
              <w:t xml:space="preserve">$25,000</w:t>
            </w:r>
          </w:p>
        </w:tc>
        <w:tc>
          <w:tcPr>
            <w:tcW w:type="dxa" w:w="2380"/>
            <w:tcBorders>
              <w:top w:val="single" w:color="C0C8D0" w:sz="1"/>
              <w:left w:val="single" w:color="C0C8D0" w:sz="1"/>
              <w:bottom w:val="single" w:color="C0C8D0" w:sz="1"/>
              <w:right w:val="single" w:color="C0C8D0" w:sz="1"/>
            </w:tcBorders>
            <w:shd w:fill="F2F4F6" w:val="clear"/>
            <w:tcMar>
              <w:top w:type="dxa" w:w="80"/>
              <w:left w:type="dxa" w:w="140"/>
              <w:bottom w:type="dxa" w:w="80"/>
              <w:right w:type="dxa" w:w="140"/>
            </w:tcMar>
          </w:tcPr>
          <w:p>
            <w:pPr>
              <w:spacing w:after="0" w:before="0"/>
            </w:pPr>
            <w:r>
              <w:rPr>
                <w:rFonts w:ascii="Arial" w:cs="Arial" w:eastAsia="Arial" w:hAnsi="Arial"/>
                <w:b w:val="false"/>
                <w:bCs w:val="false"/>
                <w:color w:val="3C3C3C"/>
                <w:sz w:val="19"/>
                <w:szCs w:val="19"/>
              </w:rPr>
              <w:t xml:space="preserve">$50,000</w:t>
            </w:r>
          </w:p>
        </w:tc>
        <w:tc>
          <w:tcPr>
            <w:tcW w:type="dxa" w:w="2400"/>
            <w:tcBorders>
              <w:top w:val="single" w:color="C0C8D0" w:sz="1"/>
              <w:left w:val="single" w:color="C0C8D0" w:sz="1"/>
              <w:bottom w:val="single" w:color="C0C8D0" w:sz="1"/>
              <w:right w:val="single" w:color="C0C8D0" w:sz="1"/>
            </w:tcBorders>
            <w:shd w:fill="F2F4F6" w:val="clear"/>
            <w:tcMar>
              <w:top w:type="dxa" w:w="80"/>
              <w:left w:type="dxa" w:w="140"/>
              <w:bottom w:type="dxa" w:w="80"/>
              <w:right w:type="dxa" w:w="140"/>
            </w:tcMar>
          </w:tcPr>
          <w:p>
            <w:pPr>
              <w:spacing w:after="0" w:before="0"/>
            </w:pPr>
            <w:r>
              <w:rPr>
                <w:rFonts w:ascii="Arial" w:cs="Arial" w:eastAsia="Arial" w:hAnsi="Arial"/>
                <w:b w:val="false"/>
                <w:bCs w:val="false"/>
                <w:color w:val="3C3C3C"/>
                <w:sz w:val="19"/>
                <w:szCs w:val="19"/>
              </w:rPr>
              <w:t xml:space="preserve">$10,000</w:t>
            </w:r>
          </w:p>
        </w:tc>
      </w:tr>
      <w:tr>
        <w:tc>
          <w:tcPr>
            <w:tcW w:type="dxa" w:w="2200"/>
            <w:tcBorders>
              <w:top w:val="single" w:color="C0C8D0" w:sz="1"/>
              <w:left w:val="single" w:color="C0C8D0" w:sz="1"/>
              <w:bottom w:val="single" w:color="C0C8D0" w:sz="1"/>
              <w:right w:val="single" w:color="C0C8D0" w:sz="1"/>
            </w:tcBorders>
            <w:shd w:fill="FFFFFF" w:val="clear"/>
            <w:tcMar>
              <w:top w:type="dxa" w:w="80"/>
              <w:left w:type="dxa" w:w="140"/>
              <w:bottom w:type="dxa" w:w="80"/>
              <w:right w:type="dxa" w:w="140"/>
            </w:tcMar>
          </w:tcPr>
          <w:p>
            <w:pPr>
              <w:spacing w:after="0" w:before="0"/>
            </w:pPr>
            <w:r>
              <w:rPr>
                <w:rFonts w:ascii="Arial" w:cs="Arial" w:eastAsia="Arial" w:hAnsi="Arial"/>
                <w:b/>
                <w:bCs/>
                <w:color w:val="1A1A1A"/>
                <w:sz w:val="19"/>
                <w:szCs w:val="19"/>
              </w:rPr>
              <w:t xml:space="preserve">Illinois</w:t>
            </w:r>
          </w:p>
        </w:tc>
        <w:tc>
          <w:tcPr>
            <w:tcW w:type="dxa" w:w="2380"/>
            <w:tcBorders>
              <w:top w:val="single" w:color="C0C8D0" w:sz="1"/>
              <w:left w:val="single" w:color="C0C8D0" w:sz="1"/>
              <w:bottom w:val="single" w:color="C0C8D0" w:sz="1"/>
              <w:right w:val="single" w:color="C0C8D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3C3C3C"/>
                <w:sz w:val="19"/>
                <w:szCs w:val="19"/>
              </w:rPr>
              <w:t xml:space="preserve">$25,000</w:t>
            </w:r>
          </w:p>
        </w:tc>
        <w:tc>
          <w:tcPr>
            <w:tcW w:type="dxa" w:w="2380"/>
            <w:tcBorders>
              <w:top w:val="single" w:color="C0C8D0" w:sz="1"/>
              <w:left w:val="single" w:color="C0C8D0" w:sz="1"/>
              <w:bottom w:val="single" w:color="C0C8D0" w:sz="1"/>
              <w:right w:val="single" w:color="C0C8D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3C3C3C"/>
                <w:sz w:val="19"/>
                <w:szCs w:val="19"/>
              </w:rPr>
              <w:t xml:space="preserve">$50,000</w:t>
            </w:r>
          </w:p>
        </w:tc>
        <w:tc>
          <w:tcPr>
            <w:tcW w:type="dxa" w:w="2400"/>
            <w:tcBorders>
              <w:top w:val="single" w:color="C0C8D0" w:sz="1"/>
              <w:left w:val="single" w:color="C0C8D0" w:sz="1"/>
              <w:bottom w:val="single" w:color="C0C8D0" w:sz="1"/>
              <w:right w:val="single" w:color="C0C8D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3C3C3C"/>
                <w:sz w:val="19"/>
                <w:szCs w:val="19"/>
              </w:rPr>
              <w:t xml:space="preserve">$20,000</w:t>
            </w:r>
          </w:p>
        </w:tc>
      </w:tr>
      <w:tr>
        <w:tc>
          <w:tcPr>
            <w:tcW w:type="dxa" w:w="2200"/>
            <w:tcBorders>
              <w:top w:val="single" w:color="C0C8D0" w:sz="1"/>
              <w:left w:val="single" w:color="C0C8D0" w:sz="1"/>
              <w:bottom w:val="single" w:color="C0C8D0" w:sz="1"/>
              <w:right w:val="single" w:color="C0C8D0" w:sz="1"/>
            </w:tcBorders>
            <w:shd w:fill="F2F4F6" w:val="clear"/>
            <w:tcMar>
              <w:top w:type="dxa" w:w="80"/>
              <w:left w:type="dxa" w:w="140"/>
              <w:bottom w:type="dxa" w:w="80"/>
              <w:right w:type="dxa" w:w="140"/>
            </w:tcMar>
          </w:tcPr>
          <w:p>
            <w:pPr>
              <w:spacing w:after="0" w:before="0"/>
            </w:pPr>
            <w:r>
              <w:rPr>
                <w:rFonts w:ascii="Arial" w:cs="Arial" w:eastAsia="Arial" w:hAnsi="Arial"/>
                <w:b/>
                <w:bCs/>
                <w:color w:val="1A1A1A"/>
                <w:sz w:val="19"/>
                <w:szCs w:val="19"/>
              </w:rPr>
              <w:t xml:space="preserve">Pennsylvania</w:t>
            </w:r>
          </w:p>
        </w:tc>
        <w:tc>
          <w:tcPr>
            <w:tcW w:type="dxa" w:w="2380"/>
            <w:tcBorders>
              <w:top w:val="single" w:color="C0C8D0" w:sz="1"/>
              <w:left w:val="single" w:color="C0C8D0" w:sz="1"/>
              <w:bottom w:val="single" w:color="C0C8D0" w:sz="1"/>
              <w:right w:val="single" w:color="C0C8D0" w:sz="1"/>
            </w:tcBorders>
            <w:shd w:fill="F2F4F6" w:val="clear"/>
            <w:tcMar>
              <w:top w:type="dxa" w:w="80"/>
              <w:left w:type="dxa" w:w="140"/>
              <w:bottom w:type="dxa" w:w="80"/>
              <w:right w:type="dxa" w:w="140"/>
            </w:tcMar>
          </w:tcPr>
          <w:p>
            <w:pPr>
              <w:spacing w:after="0" w:before="0"/>
            </w:pPr>
            <w:r>
              <w:rPr>
                <w:rFonts w:ascii="Arial" w:cs="Arial" w:eastAsia="Arial" w:hAnsi="Arial"/>
                <w:b w:val="false"/>
                <w:bCs w:val="false"/>
                <w:color w:val="3C3C3C"/>
                <w:sz w:val="19"/>
                <w:szCs w:val="19"/>
              </w:rPr>
              <w:t xml:space="preserve">$15,000</w:t>
            </w:r>
          </w:p>
        </w:tc>
        <w:tc>
          <w:tcPr>
            <w:tcW w:type="dxa" w:w="2380"/>
            <w:tcBorders>
              <w:top w:val="single" w:color="C0C8D0" w:sz="1"/>
              <w:left w:val="single" w:color="C0C8D0" w:sz="1"/>
              <w:bottom w:val="single" w:color="C0C8D0" w:sz="1"/>
              <w:right w:val="single" w:color="C0C8D0" w:sz="1"/>
            </w:tcBorders>
            <w:shd w:fill="F2F4F6" w:val="clear"/>
            <w:tcMar>
              <w:top w:type="dxa" w:w="80"/>
              <w:left w:type="dxa" w:w="140"/>
              <w:bottom w:type="dxa" w:w="80"/>
              <w:right w:type="dxa" w:w="140"/>
            </w:tcMar>
          </w:tcPr>
          <w:p>
            <w:pPr>
              <w:spacing w:after="0" w:before="0"/>
            </w:pPr>
            <w:r>
              <w:rPr>
                <w:rFonts w:ascii="Arial" w:cs="Arial" w:eastAsia="Arial" w:hAnsi="Arial"/>
                <w:b w:val="false"/>
                <w:bCs w:val="false"/>
                <w:color w:val="3C3C3C"/>
                <w:sz w:val="19"/>
                <w:szCs w:val="19"/>
              </w:rPr>
              <w:t xml:space="preserve">$30,000</w:t>
            </w:r>
          </w:p>
        </w:tc>
        <w:tc>
          <w:tcPr>
            <w:tcW w:type="dxa" w:w="2400"/>
            <w:tcBorders>
              <w:top w:val="single" w:color="C0C8D0" w:sz="1"/>
              <w:left w:val="single" w:color="C0C8D0" w:sz="1"/>
              <w:bottom w:val="single" w:color="C0C8D0" w:sz="1"/>
              <w:right w:val="single" w:color="C0C8D0" w:sz="1"/>
            </w:tcBorders>
            <w:shd w:fill="F2F4F6" w:val="clear"/>
            <w:tcMar>
              <w:top w:type="dxa" w:w="80"/>
              <w:left w:type="dxa" w:w="140"/>
              <w:bottom w:type="dxa" w:w="80"/>
              <w:right w:type="dxa" w:w="140"/>
            </w:tcMar>
          </w:tcPr>
          <w:p>
            <w:pPr>
              <w:spacing w:after="0" w:before="0"/>
            </w:pPr>
            <w:r>
              <w:rPr>
                <w:rFonts w:ascii="Arial" w:cs="Arial" w:eastAsia="Arial" w:hAnsi="Arial"/>
                <w:b w:val="false"/>
                <w:bCs w:val="false"/>
                <w:color w:val="3C3C3C"/>
                <w:sz w:val="19"/>
                <w:szCs w:val="19"/>
              </w:rPr>
              <w:t xml:space="preserve">$5,000</w:t>
            </w:r>
          </w:p>
        </w:tc>
      </w:tr>
      <w:tr>
        <w:tc>
          <w:tcPr>
            <w:tcW w:type="dxa" w:w="2200"/>
            <w:tcBorders>
              <w:top w:val="single" w:color="C0C8D0" w:sz="1"/>
              <w:left w:val="single" w:color="C0C8D0" w:sz="1"/>
              <w:bottom w:val="single" w:color="C0C8D0" w:sz="1"/>
              <w:right w:val="single" w:color="C0C8D0" w:sz="1"/>
            </w:tcBorders>
            <w:shd w:fill="FFFFFF" w:val="clear"/>
            <w:tcMar>
              <w:top w:type="dxa" w:w="80"/>
              <w:left w:type="dxa" w:w="140"/>
              <w:bottom w:type="dxa" w:w="80"/>
              <w:right w:type="dxa" w:w="140"/>
            </w:tcMar>
          </w:tcPr>
          <w:p>
            <w:pPr>
              <w:spacing w:after="0" w:before="0"/>
            </w:pPr>
            <w:r>
              <w:rPr>
                <w:rFonts w:ascii="Arial" w:cs="Arial" w:eastAsia="Arial" w:hAnsi="Arial"/>
                <w:b/>
                <w:bCs/>
                <w:color w:val="1A1A1A"/>
                <w:sz w:val="19"/>
                <w:szCs w:val="19"/>
              </w:rPr>
              <w:t xml:space="preserve">Georgia</w:t>
            </w:r>
          </w:p>
        </w:tc>
        <w:tc>
          <w:tcPr>
            <w:tcW w:type="dxa" w:w="2380"/>
            <w:tcBorders>
              <w:top w:val="single" w:color="C0C8D0" w:sz="1"/>
              <w:left w:val="single" w:color="C0C8D0" w:sz="1"/>
              <w:bottom w:val="single" w:color="C0C8D0" w:sz="1"/>
              <w:right w:val="single" w:color="C0C8D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3C3C3C"/>
                <w:sz w:val="19"/>
                <w:szCs w:val="19"/>
              </w:rPr>
              <w:t xml:space="preserve">$25,000</w:t>
            </w:r>
          </w:p>
        </w:tc>
        <w:tc>
          <w:tcPr>
            <w:tcW w:type="dxa" w:w="2380"/>
            <w:tcBorders>
              <w:top w:val="single" w:color="C0C8D0" w:sz="1"/>
              <w:left w:val="single" w:color="C0C8D0" w:sz="1"/>
              <w:bottom w:val="single" w:color="C0C8D0" w:sz="1"/>
              <w:right w:val="single" w:color="C0C8D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3C3C3C"/>
                <w:sz w:val="19"/>
                <w:szCs w:val="19"/>
              </w:rPr>
              <w:t xml:space="preserve">$50,000</w:t>
            </w:r>
          </w:p>
        </w:tc>
        <w:tc>
          <w:tcPr>
            <w:tcW w:type="dxa" w:w="2400"/>
            <w:tcBorders>
              <w:top w:val="single" w:color="C0C8D0" w:sz="1"/>
              <w:left w:val="single" w:color="C0C8D0" w:sz="1"/>
              <w:bottom w:val="single" w:color="C0C8D0" w:sz="1"/>
              <w:right w:val="single" w:color="C0C8D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3C3C3C"/>
                <w:sz w:val="19"/>
                <w:szCs w:val="19"/>
              </w:rPr>
              <w:t xml:space="preserve">$25,000</w:t>
            </w:r>
          </w:p>
        </w:tc>
      </w:tr>
      <w:tr>
        <w:tc>
          <w:tcPr>
            <w:tcW w:type="dxa" w:w="2200"/>
            <w:tcBorders>
              <w:top w:val="single" w:color="C0C8D0" w:sz="1"/>
              <w:left w:val="single" w:color="C0C8D0" w:sz="1"/>
              <w:bottom w:val="single" w:color="C0C8D0" w:sz="1"/>
              <w:right w:val="single" w:color="C0C8D0" w:sz="1"/>
            </w:tcBorders>
            <w:shd w:fill="F2F4F6" w:val="clear"/>
            <w:tcMar>
              <w:top w:type="dxa" w:w="80"/>
              <w:left w:type="dxa" w:w="140"/>
              <w:bottom w:type="dxa" w:w="80"/>
              <w:right w:type="dxa" w:w="140"/>
            </w:tcMar>
          </w:tcPr>
          <w:p>
            <w:pPr>
              <w:spacing w:after="0" w:before="0"/>
            </w:pPr>
            <w:r>
              <w:rPr>
                <w:rFonts w:ascii="Arial" w:cs="Arial" w:eastAsia="Arial" w:hAnsi="Arial"/>
                <w:b/>
                <w:bCs/>
                <w:color w:val="1A1A1A"/>
                <w:sz w:val="19"/>
                <w:szCs w:val="19"/>
              </w:rPr>
              <w:t xml:space="preserve">Arizona</w:t>
            </w:r>
          </w:p>
        </w:tc>
        <w:tc>
          <w:tcPr>
            <w:tcW w:type="dxa" w:w="2380"/>
            <w:tcBorders>
              <w:top w:val="single" w:color="C0C8D0" w:sz="1"/>
              <w:left w:val="single" w:color="C0C8D0" w:sz="1"/>
              <w:bottom w:val="single" w:color="C0C8D0" w:sz="1"/>
              <w:right w:val="single" w:color="C0C8D0" w:sz="1"/>
            </w:tcBorders>
            <w:shd w:fill="F2F4F6" w:val="clear"/>
            <w:tcMar>
              <w:top w:type="dxa" w:w="80"/>
              <w:left w:type="dxa" w:w="140"/>
              <w:bottom w:type="dxa" w:w="80"/>
              <w:right w:type="dxa" w:w="140"/>
            </w:tcMar>
          </w:tcPr>
          <w:p>
            <w:pPr>
              <w:spacing w:after="0" w:before="0"/>
            </w:pPr>
            <w:r>
              <w:rPr>
                <w:rFonts w:ascii="Arial" w:cs="Arial" w:eastAsia="Arial" w:hAnsi="Arial"/>
                <w:b w:val="false"/>
                <w:bCs w:val="false"/>
                <w:color w:val="3C3C3C"/>
                <w:sz w:val="19"/>
                <w:szCs w:val="19"/>
              </w:rPr>
              <w:t xml:space="preserve">$25,000</w:t>
            </w:r>
          </w:p>
        </w:tc>
        <w:tc>
          <w:tcPr>
            <w:tcW w:type="dxa" w:w="2380"/>
            <w:tcBorders>
              <w:top w:val="single" w:color="C0C8D0" w:sz="1"/>
              <w:left w:val="single" w:color="C0C8D0" w:sz="1"/>
              <w:bottom w:val="single" w:color="C0C8D0" w:sz="1"/>
              <w:right w:val="single" w:color="C0C8D0" w:sz="1"/>
            </w:tcBorders>
            <w:shd w:fill="F2F4F6" w:val="clear"/>
            <w:tcMar>
              <w:top w:type="dxa" w:w="80"/>
              <w:left w:type="dxa" w:w="140"/>
              <w:bottom w:type="dxa" w:w="80"/>
              <w:right w:type="dxa" w:w="140"/>
            </w:tcMar>
          </w:tcPr>
          <w:p>
            <w:pPr>
              <w:spacing w:after="0" w:before="0"/>
            </w:pPr>
            <w:r>
              <w:rPr>
                <w:rFonts w:ascii="Arial" w:cs="Arial" w:eastAsia="Arial" w:hAnsi="Arial"/>
                <w:b w:val="false"/>
                <w:bCs w:val="false"/>
                <w:color w:val="3C3C3C"/>
                <w:sz w:val="19"/>
                <w:szCs w:val="19"/>
              </w:rPr>
              <w:t xml:space="preserve">$50,000</w:t>
            </w:r>
          </w:p>
        </w:tc>
        <w:tc>
          <w:tcPr>
            <w:tcW w:type="dxa" w:w="2400"/>
            <w:tcBorders>
              <w:top w:val="single" w:color="C0C8D0" w:sz="1"/>
              <w:left w:val="single" w:color="C0C8D0" w:sz="1"/>
              <w:bottom w:val="single" w:color="C0C8D0" w:sz="1"/>
              <w:right w:val="single" w:color="C0C8D0" w:sz="1"/>
            </w:tcBorders>
            <w:shd w:fill="F2F4F6" w:val="clear"/>
            <w:tcMar>
              <w:top w:type="dxa" w:w="80"/>
              <w:left w:type="dxa" w:w="140"/>
              <w:bottom w:type="dxa" w:w="80"/>
              <w:right w:type="dxa" w:w="140"/>
            </w:tcMar>
          </w:tcPr>
          <w:p>
            <w:pPr>
              <w:spacing w:after="0" w:before="0"/>
            </w:pPr>
            <w:r>
              <w:rPr>
                <w:rFonts w:ascii="Arial" w:cs="Arial" w:eastAsia="Arial" w:hAnsi="Arial"/>
                <w:b w:val="false"/>
                <w:bCs w:val="false"/>
                <w:color w:val="3C3C3C"/>
                <w:sz w:val="19"/>
                <w:szCs w:val="19"/>
              </w:rPr>
              <w:t xml:space="preserve">$15,000</w:t>
            </w:r>
          </w:p>
        </w:tc>
      </w:tr>
      <w:tr>
        <w:tc>
          <w:tcPr>
            <w:tcW w:type="dxa" w:w="2200"/>
            <w:tcBorders>
              <w:top w:val="single" w:color="C0C8D0" w:sz="1"/>
              <w:left w:val="single" w:color="C0C8D0" w:sz="1"/>
              <w:bottom w:val="single" w:color="C0C8D0" w:sz="1"/>
              <w:right w:val="single" w:color="C0C8D0" w:sz="1"/>
            </w:tcBorders>
            <w:shd w:fill="FFFFFF" w:val="clear"/>
            <w:tcMar>
              <w:top w:type="dxa" w:w="80"/>
              <w:left w:type="dxa" w:w="140"/>
              <w:bottom w:type="dxa" w:w="80"/>
              <w:right w:type="dxa" w:w="140"/>
            </w:tcMar>
          </w:tcPr>
          <w:p>
            <w:pPr>
              <w:spacing w:after="0" w:before="0"/>
            </w:pPr>
            <w:r>
              <w:rPr>
                <w:rFonts w:ascii="Arial" w:cs="Arial" w:eastAsia="Arial" w:hAnsi="Arial"/>
                <w:b/>
                <w:bCs/>
                <w:color w:val="1A1A1A"/>
                <w:sz w:val="19"/>
                <w:szCs w:val="19"/>
              </w:rPr>
              <w:t xml:space="preserve">Colorado</w:t>
            </w:r>
          </w:p>
        </w:tc>
        <w:tc>
          <w:tcPr>
            <w:tcW w:type="dxa" w:w="2380"/>
            <w:tcBorders>
              <w:top w:val="single" w:color="C0C8D0" w:sz="1"/>
              <w:left w:val="single" w:color="C0C8D0" w:sz="1"/>
              <w:bottom w:val="single" w:color="C0C8D0" w:sz="1"/>
              <w:right w:val="single" w:color="C0C8D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3C3C3C"/>
                <w:sz w:val="19"/>
                <w:szCs w:val="19"/>
              </w:rPr>
              <w:t xml:space="preserve">$25,000</w:t>
            </w:r>
          </w:p>
        </w:tc>
        <w:tc>
          <w:tcPr>
            <w:tcW w:type="dxa" w:w="2380"/>
            <w:tcBorders>
              <w:top w:val="single" w:color="C0C8D0" w:sz="1"/>
              <w:left w:val="single" w:color="C0C8D0" w:sz="1"/>
              <w:bottom w:val="single" w:color="C0C8D0" w:sz="1"/>
              <w:right w:val="single" w:color="C0C8D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3C3C3C"/>
                <w:sz w:val="19"/>
                <w:szCs w:val="19"/>
              </w:rPr>
              <w:t xml:space="preserve">$50,000</w:t>
            </w:r>
          </w:p>
        </w:tc>
        <w:tc>
          <w:tcPr>
            <w:tcW w:type="dxa" w:w="2400"/>
            <w:tcBorders>
              <w:top w:val="single" w:color="C0C8D0" w:sz="1"/>
              <w:left w:val="single" w:color="C0C8D0" w:sz="1"/>
              <w:bottom w:val="single" w:color="C0C8D0" w:sz="1"/>
              <w:right w:val="single" w:color="C0C8D0" w:sz="1"/>
            </w:tcBorders>
            <w:shd w:fill="FFFFFF" w:val="clear"/>
            <w:tcMar>
              <w:top w:type="dxa" w:w="80"/>
              <w:left w:type="dxa" w:w="140"/>
              <w:bottom w:type="dxa" w:w="80"/>
              <w:right w:type="dxa" w:w="140"/>
            </w:tcMar>
          </w:tcPr>
          <w:p>
            <w:pPr>
              <w:spacing w:after="0" w:before="0"/>
            </w:pPr>
            <w:r>
              <w:rPr>
                <w:rFonts w:ascii="Arial" w:cs="Arial" w:eastAsia="Arial" w:hAnsi="Arial"/>
                <w:b w:val="false"/>
                <w:bCs w:val="false"/>
                <w:color w:val="3C3C3C"/>
                <w:sz w:val="19"/>
                <w:szCs w:val="19"/>
              </w:rPr>
              <w:t xml:space="preserve">$15,000</w:t>
            </w:r>
          </w:p>
        </w:tc>
      </w:tr>
      <w:tr>
        <w:tc>
          <w:tcPr>
            <w:tcW w:type="dxa" w:w="2200"/>
            <w:tcBorders>
              <w:top w:val="single" w:color="C0C8D0" w:sz="1"/>
              <w:left w:val="single" w:color="C0C8D0" w:sz="1"/>
              <w:bottom w:val="single" w:color="C0C8D0" w:sz="1"/>
              <w:right w:val="single" w:color="C0C8D0" w:sz="1"/>
            </w:tcBorders>
            <w:shd w:fill="F2F4F6" w:val="clear"/>
            <w:tcMar>
              <w:top w:type="dxa" w:w="80"/>
              <w:left w:type="dxa" w:w="140"/>
              <w:bottom w:type="dxa" w:w="80"/>
              <w:right w:type="dxa" w:w="140"/>
            </w:tcMar>
          </w:tcPr>
          <w:p>
            <w:pPr>
              <w:spacing w:after="0" w:before="0"/>
            </w:pPr>
            <w:r>
              <w:rPr>
                <w:rFonts w:ascii="Arial" w:cs="Arial" w:eastAsia="Arial" w:hAnsi="Arial"/>
                <w:b/>
                <w:bCs/>
                <w:color w:val="1A1A1A"/>
                <w:sz w:val="19"/>
                <w:szCs w:val="19"/>
              </w:rPr>
              <w:t xml:space="preserve">Ohio</w:t>
            </w:r>
          </w:p>
        </w:tc>
        <w:tc>
          <w:tcPr>
            <w:tcW w:type="dxa" w:w="2380"/>
            <w:tcBorders>
              <w:top w:val="single" w:color="C0C8D0" w:sz="1"/>
              <w:left w:val="single" w:color="C0C8D0" w:sz="1"/>
              <w:bottom w:val="single" w:color="C0C8D0" w:sz="1"/>
              <w:right w:val="single" w:color="C0C8D0" w:sz="1"/>
            </w:tcBorders>
            <w:shd w:fill="F2F4F6" w:val="clear"/>
            <w:tcMar>
              <w:top w:type="dxa" w:w="80"/>
              <w:left w:type="dxa" w:w="140"/>
              <w:bottom w:type="dxa" w:w="80"/>
              <w:right w:type="dxa" w:w="140"/>
            </w:tcMar>
          </w:tcPr>
          <w:p>
            <w:pPr>
              <w:spacing w:after="0" w:before="0"/>
            </w:pPr>
            <w:r>
              <w:rPr>
                <w:rFonts w:ascii="Arial" w:cs="Arial" w:eastAsia="Arial" w:hAnsi="Arial"/>
                <w:b w:val="false"/>
                <w:bCs w:val="false"/>
                <w:color w:val="3C3C3C"/>
                <w:sz w:val="19"/>
                <w:szCs w:val="19"/>
              </w:rPr>
              <w:t xml:space="preserve">$25,000</w:t>
            </w:r>
          </w:p>
        </w:tc>
        <w:tc>
          <w:tcPr>
            <w:tcW w:type="dxa" w:w="2380"/>
            <w:tcBorders>
              <w:top w:val="single" w:color="C0C8D0" w:sz="1"/>
              <w:left w:val="single" w:color="C0C8D0" w:sz="1"/>
              <w:bottom w:val="single" w:color="C0C8D0" w:sz="1"/>
              <w:right w:val="single" w:color="C0C8D0" w:sz="1"/>
            </w:tcBorders>
            <w:shd w:fill="F2F4F6" w:val="clear"/>
            <w:tcMar>
              <w:top w:type="dxa" w:w="80"/>
              <w:left w:type="dxa" w:w="140"/>
              <w:bottom w:type="dxa" w:w="80"/>
              <w:right w:type="dxa" w:w="140"/>
            </w:tcMar>
          </w:tcPr>
          <w:p>
            <w:pPr>
              <w:spacing w:after="0" w:before="0"/>
            </w:pPr>
            <w:r>
              <w:rPr>
                <w:rFonts w:ascii="Arial" w:cs="Arial" w:eastAsia="Arial" w:hAnsi="Arial"/>
                <w:b w:val="false"/>
                <w:bCs w:val="false"/>
                <w:color w:val="3C3C3C"/>
                <w:sz w:val="19"/>
                <w:szCs w:val="19"/>
              </w:rPr>
              <w:t xml:space="preserve">$50,000</w:t>
            </w:r>
          </w:p>
        </w:tc>
        <w:tc>
          <w:tcPr>
            <w:tcW w:type="dxa" w:w="2400"/>
            <w:tcBorders>
              <w:top w:val="single" w:color="C0C8D0" w:sz="1"/>
              <w:left w:val="single" w:color="C0C8D0" w:sz="1"/>
              <w:bottom w:val="single" w:color="C0C8D0" w:sz="1"/>
              <w:right w:val="single" w:color="C0C8D0" w:sz="1"/>
            </w:tcBorders>
            <w:shd w:fill="F2F4F6" w:val="clear"/>
            <w:tcMar>
              <w:top w:type="dxa" w:w="80"/>
              <w:left w:type="dxa" w:w="140"/>
              <w:bottom w:type="dxa" w:w="80"/>
              <w:right w:type="dxa" w:w="140"/>
            </w:tcMar>
          </w:tcPr>
          <w:p>
            <w:pPr>
              <w:spacing w:after="0" w:before="0"/>
            </w:pPr>
            <w:r>
              <w:rPr>
                <w:rFonts w:ascii="Arial" w:cs="Arial" w:eastAsia="Arial" w:hAnsi="Arial"/>
                <w:b w:val="false"/>
                <w:bCs w:val="false"/>
                <w:color w:val="3C3C3C"/>
                <w:sz w:val="19"/>
                <w:szCs w:val="19"/>
              </w:rPr>
              <w:t xml:space="preserve">$25,000</w:t>
            </w:r>
          </w:p>
        </w:tc>
      </w:tr>
    </w:tbl>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A6400" w:sz="18"/>
              <w:bottom w:val="none" w:color="FFFFFF" w:sz="0"/>
              <w:right w:val="none" w:color="FFFFFF" w:sz="0"/>
            </w:tcBorders>
            <w:shd w:fill="FFFBEE" w:val="clear"/>
            <w:tcMar>
              <w:top w:type="dxa" w:w="110"/>
              <w:left w:type="dxa" w:w="200"/>
              <w:bottom w:type="dxa" w:w="110"/>
              <w:right w:type="dxa" w:w="160"/>
            </w:tcMar>
          </w:tcPr>
          <w:p>
            <w:pPr>
              <w:spacing w:after="60" w:before="0"/>
            </w:pPr>
            <w:r>
              <w:rPr>
                <w:rFonts w:ascii="Arial" w:cs="Arial" w:eastAsia="Arial" w:hAnsi="Arial"/>
                <w:b/>
                <w:bCs/>
                <w:caps/>
                <w:color w:val="8A6400"/>
                <w:sz w:val="19"/>
                <w:szCs w:val="19"/>
              </w:rPr>
              <w:t xml:space="preserve">Florida’s Unique Requirements</w:t>
            </w:r>
          </w:p>
          <w:p>
            <w:pPr>
              <w:spacing w:after="0" w:before="0"/>
            </w:pPr>
            <w:r>
              <w:rPr>
                <w:rFonts w:ascii="Arial" w:cs="Arial" w:eastAsia="Arial" w:hAnsi="Arial"/>
                <w:color w:val="4A3800"/>
                <w:sz w:val="20"/>
                <w:szCs w:val="20"/>
              </w:rPr>
              <w:t xml:space="preserve">Florida is one of the few states that does not require bodily injury liability coverage for motorcyclists. However, riders who cause accidents can still be held personally liable for all damages caused. Florida motorcyclists are strongly advised to carry voluntary bodily injury liability coverage even though it is not mandated.</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B1A1A" w:sz="18"/>
              <w:bottom w:val="none" w:color="FFFFFF" w:sz="0"/>
              <w:right w:val="none" w:color="FFFFFF" w:sz="0"/>
            </w:tcBorders>
            <w:shd w:fill="FDF0F0" w:val="clear"/>
            <w:tcMar>
              <w:top w:type="dxa" w:w="110"/>
              <w:left w:type="dxa" w:w="200"/>
              <w:bottom w:type="dxa" w:w="110"/>
              <w:right w:type="dxa" w:w="160"/>
            </w:tcMar>
          </w:tcPr>
          <w:p>
            <w:pPr>
              <w:spacing w:after="60" w:before="0"/>
            </w:pPr>
            <w:r>
              <w:rPr>
                <w:rFonts w:ascii="Arial" w:cs="Arial" w:eastAsia="Arial" w:hAnsi="Arial"/>
                <w:b/>
                <w:bCs/>
                <w:caps/>
                <w:color w:val="8B1A1A"/>
                <w:sz w:val="19"/>
                <w:szCs w:val="19"/>
              </w:rPr>
              <w:t xml:space="preserve">State Minimums Are Rarely Enough</w:t>
            </w:r>
          </w:p>
          <w:p>
            <w:pPr>
              <w:spacing w:after="0" w:before="0"/>
            </w:pPr>
            <w:r>
              <w:rPr>
                <w:rFonts w:ascii="Arial" w:cs="Arial" w:eastAsia="Arial" w:hAnsi="Arial"/>
                <w:color w:val="5A1010"/>
                <w:sz w:val="20"/>
                <w:szCs w:val="20"/>
              </w:rPr>
              <w:t xml:space="preserve">A single serious motorcycle accident involving multiple injuries can easily generate medical bills, lost wages, and legal judgments exceeding $500,000 or more. State minimum limits of $25,000 per person or $50,000 per accident leave enormous personal financial exposure. Most insurance professionals recommend bodily injury limits of at least $100,000/$300,000 for motorcyclists.</w:t>
            </w:r>
          </w:p>
        </w:tc>
      </w:tr>
    </w:tbl>
    <w:p>
      <w:pPr>
        <w:spacing w:after="0" w:before="120"/>
      </w:pPr>
      <w:r>
        <w:rPr>
          <w:rFonts w:ascii="Arial" w:cs="Arial" w:eastAsia="Arial" w:hAnsi="Arial"/>
        </w:rPr>
        <w:t xml:space="preserve"/>
      </w:r>
    </w:p>
    <w:p>
      <w:pPr>
        <w:pBdr>
          <w:bottom w:val="single" w:color="F0C4A8" w:sz="4" w:space="4"/>
        </w:pBdr>
        <w:spacing w:after="80" w:before="220"/>
      </w:pPr>
      <w:r>
        <w:rPr>
          <w:rFonts w:ascii="Arial" w:cs="Arial" w:eastAsia="Arial" w:hAnsi="Arial"/>
          <w:b/>
          <w:bCs/>
          <w:color w:val="2C2C2C"/>
          <w:sz w:val="24"/>
          <w:szCs w:val="24"/>
        </w:rPr>
        <w:t xml:space="preserve">States Without Mandatory Motorcycle Insurance</w:t>
      </w:r>
    </w:p>
    <w:p>
      <w:pPr>
        <w:spacing w:after="110" w:before="80"/>
      </w:pPr>
      <w:r>
        <w:rPr>
          <w:rFonts w:ascii="Arial" w:cs="Arial" w:eastAsia="Arial" w:hAnsi="Arial"/>
          <w:color w:val="1A1A1A"/>
          <w:sz w:val="22"/>
          <w:szCs w:val="22"/>
        </w:rPr>
        <w:t xml:space="preserve">A small number of states do not require motorcyclists to carry insurance but may require proof of financial responsibility. These include New Hampshire (which requires financial responsibility but not insurance), Montana (no insurance requirement), and Washington (no insurance requirement but financial responsibility law applies). Even in these states, riding without insurance creates substantial personal financial risk.</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D4621A" w:sz="18"/>
              <w:bottom w:val="none" w:color="FFFFFF" w:sz="0"/>
              <w:right w:val="none" w:color="FFFFFF" w:sz="0"/>
            </w:tcBorders>
            <w:shd w:fill="FDF4EE" w:val="clear"/>
            <w:tcMar>
              <w:top w:type="dxa" w:w="110"/>
              <w:left w:type="dxa" w:w="200"/>
              <w:bottom w:type="dxa" w:w="110"/>
              <w:right w:type="dxa" w:w="160"/>
            </w:tcMar>
          </w:tcPr>
          <w:p>
            <w:pPr>
              <w:spacing w:after="0" w:before="0"/>
            </w:pPr>
            <w:r>
              <w:rPr>
                <w:rFonts w:ascii="Arial" w:cs="Arial" w:eastAsia="Arial" w:hAnsi="Arial"/>
                <w:b/>
                <w:bCs/>
                <w:color w:val="C04E00"/>
                <w:sz w:val="20"/>
                <w:szCs w:val="20"/>
              </w:rPr>
              <w:t xml:space="preserve">Key Takeaway: </w:t>
            </w:r>
            <w:r>
              <w:rPr>
                <w:rFonts w:ascii="Arial" w:cs="Arial" w:eastAsia="Arial" w:hAnsi="Arial"/>
                <w:color w:val="3C3C3C"/>
                <w:sz w:val="20"/>
                <w:szCs w:val="20"/>
              </w:rPr>
              <w:t xml:space="preserve">Always check your state’s current motorcycle insurance requirements before purchasing a policy or registering a motorcycle. Requirements change periodically, and some states have different rules for motorcycles above certain engine displacements.</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2C2C2C" w:val="clear"/>
            <w:tcMar>
              <w:top w:type="dxa" w:w="160"/>
              <w:left w:type="dxa" w:w="240"/>
              <w:bottom w:type="dxa" w:w="160"/>
              <w:right w:type="dxa" w:w="240"/>
            </w:tcMar>
          </w:tcPr>
          <w:p>
            <w:pPr>
              <w:spacing w:after="0" w:before="0"/>
            </w:pPr>
            <w:r>
              <w:rPr>
                <w:rFonts w:ascii="Arial" w:cs="Arial" w:eastAsia="Arial" w:hAnsi="Arial"/>
                <w:b/>
                <w:bCs/>
                <w:color w:val="D4621A"/>
                <w:sz w:val="28"/>
                <w:szCs w:val="28"/>
              </w:rPr>
              <w:t xml:space="preserve">4.  </w:t>
            </w:r>
            <w:r>
              <w:rPr>
                <w:rFonts w:ascii="Arial" w:cs="Arial" w:eastAsia="Arial" w:hAnsi="Arial"/>
                <w:b/>
                <w:bCs/>
                <w:color w:val="FFFFFF"/>
                <w:sz w:val="28"/>
                <w:szCs w:val="28"/>
              </w:rPr>
              <w:t xml:space="preserve">Who Needs Motorcycle Insurance</w:t>
            </w:r>
          </w:p>
        </w:tc>
      </w:tr>
    </w:tbl>
    <w:p>
      <w:pPr>
        <w:spacing w:after="0" w:before="100"/>
      </w:pPr>
      <w:r>
        <w:rPr>
          <w:rFonts w:ascii="Arial" w:cs="Arial" w:eastAsia="Arial" w:hAnsi="Arial"/>
        </w:rPr>
        <w:t xml:space="preserve"/>
      </w:r>
    </w:p>
    <w:p>
      <w:pPr>
        <w:spacing w:after="110" w:before="80"/>
      </w:pPr>
      <w:r>
        <w:rPr>
          <w:rFonts w:ascii="Arial" w:cs="Arial" w:eastAsia="Arial" w:hAnsi="Arial"/>
          <w:color w:val="1A1A1A"/>
          <w:sz w:val="22"/>
          <w:szCs w:val="22"/>
        </w:rPr>
        <w:t xml:space="preserve">The straightforward answer is: anyone who owns or operates a motorcycle needs motorcycle insurance. But the full picture is more nuanced — the type of coverage needed, the appropriate limits, and the specific policy features that matter most vary considerably based on the rider’s situation, experience level, and how the motorcycle is used.</w:t>
      </w:r>
    </w:p>
    <w:p>
      <w:pPr>
        <w:spacing w:after="0" w:before="100"/>
      </w:pPr>
      <w:r>
        <w:rPr>
          <w:rFonts w:ascii="Arial" w:cs="Arial" w:eastAsia="Arial" w:hAnsi="Arial"/>
        </w:rPr>
        <w:t xml:space="preserve"/>
      </w:r>
    </w:p>
    <w:p>
      <w:pPr>
        <w:pBdr>
          <w:bottom w:val="single" w:color="F0C4A8" w:sz="4" w:space="4"/>
        </w:pBdr>
        <w:spacing w:after="80" w:before="220"/>
      </w:pPr>
      <w:r>
        <w:rPr>
          <w:rFonts w:ascii="Arial" w:cs="Arial" w:eastAsia="Arial" w:hAnsi="Arial"/>
          <w:b/>
          <w:bCs/>
          <w:color w:val="2C2C2C"/>
          <w:sz w:val="24"/>
          <w:szCs w:val="24"/>
        </w:rPr>
        <w:t xml:space="preserve">Who Is Required to Carry Motorcycle Insurance</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D4621A"/>
          <w:sz w:val="22"/>
          <w:szCs w:val="22"/>
        </w:rPr>
        <w:t xml:space="preserve">Registered motorcycle owners — </w:t>
      </w:r>
      <w:r>
        <w:rPr>
          <w:rFonts w:ascii="Arial" w:cs="Arial" w:eastAsia="Arial" w:hAnsi="Arial"/>
          <w:color w:val="3C3C3C"/>
          <w:sz w:val="22"/>
          <w:szCs w:val="22"/>
        </w:rPr>
        <w:t xml:space="preserve">in most states, registering a motorcycle requires proof of insurance meeting state minimum liability requirements</w:t>
      </w:r>
    </w:p>
    <w:p>
      <w:pPr>
        <w:pStyle w:val="ListParagraph"/>
        <w:numPr>
          <w:ilvl w:val="0"/>
          <w:numId w:val="2"/>
        </w:numPr>
        <w:spacing w:after="60" w:before="60"/>
      </w:pPr>
      <w:r>
        <w:rPr>
          <w:rFonts w:ascii="Arial" w:cs="Arial" w:eastAsia="Arial" w:hAnsi="Arial"/>
          <w:b/>
          <w:bCs/>
          <w:color w:val="D4621A"/>
          <w:sz w:val="22"/>
          <w:szCs w:val="22"/>
        </w:rPr>
        <w:t xml:space="preserve">Operators on public roads — </w:t>
      </w:r>
      <w:r>
        <w:rPr>
          <w:rFonts w:ascii="Arial" w:cs="Arial" w:eastAsia="Arial" w:hAnsi="Arial"/>
          <w:color w:val="3C3C3C"/>
          <w:sz w:val="22"/>
          <w:szCs w:val="22"/>
        </w:rPr>
        <w:t xml:space="preserve">anyone riding a motorcycle on public roads and highways is subject to their state’s financial responsibility laws, which typically require insurance</w:t>
      </w:r>
    </w:p>
    <w:p>
      <w:pPr>
        <w:pStyle w:val="ListParagraph"/>
        <w:numPr>
          <w:ilvl w:val="0"/>
          <w:numId w:val="2"/>
        </w:numPr>
        <w:spacing w:after="60" w:before="60"/>
      </w:pPr>
      <w:r>
        <w:rPr>
          <w:rFonts w:ascii="Arial" w:cs="Arial" w:eastAsia="Arial" w:hAnsi="Arial"/>
          <w:b/>
          <w:bCs/>
          <w:color w:val="D4621A"/>
          <w:sz w:val="22"/>
          <w:szCs w:val="22"/>
        </w:rPr>
        <w:t xml:space="preserve">Financed motorcycle purchasers — </w:t>
      </w:r>
      <w:r>
        <w:rPr>
          <w:rFonts w:ascii="Arial" w:cs="Arial" w:eastAsia="Arial" w:hAnsi="Arial"/>
          <w:color w:val="3C3C3C"/>
          <w:sz w:val="22"/>
          <w:szCs w:val="22"/>
        </w:rPr>
        <w:t xml:space="preserve">lenders financing a motorcycle purchase will require collision and comprehensive coverage (physical damage) in addition to the legally required liability coverage</w:t>
      </w:r>
    </w:p>
    <w:p>
      <w:pPr>
        <w:pStyle w:val="ListParagraph"/>
        <w:numPr>
          <w:ilvl w:val="0"/>
          <w:numId w:val="2"/>
        </w:numPr>
        <w:spacing w:after="60" w:before="60"/>
      </w:pPr>
      <w:r>
        <w:rPr>
          <w:rFonts w:ascii="Arial" w:cs="Arial" w:eastAsia="Arial" w:hAnsi="Arial"/>
          <w:b/>
          <w:bCs/>
          <w:color w:val="D4621A"/>
          <w:sz w:val="22"/>
          <w:szCs w:val="22"/>
        </w:rPr>
        <w:t xml:space="preserve">Leased motorcycle operators — </w:t>
      </w:r>
      <w:r>
        <w:rPr>
          <w:rFonts w:ascii="Arial" w:cs="Arial" w:eastAsia="Arial" w:hAnsi="Arial"/>
          <w:color w:val="3C3C3C"/>
          <w:sz w:val="22"/>
          <w:szCs w:val="22"/>
        </w:rPr>
        <w:t xml:space="preserve">leasing companies universally require the lessee to maintain comprehensive insurance coverage including physical damage</w:t>
      </w:r>
    </w:p>
    <w:p>
      <w:pPr>
        <w:spacing w:after="0" w:before="100"/>
      </w:pPr>
      <w:r>
        <w:rPr>
          <w:rFonts w:ascii="Arial" w:cs="Arial" w:eastAsia="Arial" w:hAnsi="Arial"/>
        </w:rPr>
        <w:t xml:space="preserve"/>
      </w:r>
    </w:p>
    <w:p>
      <w:pPr>
        <w:pBdr>
          <w:bottom w:val="single" w:color="F0C4A8" w:sz="4" w:space="4"/>
        </w:pBdr>
        <w:spacing w:after="80" w:before="220"/>
      </w:pPr>
      <w:r>
        <w:rPr>
          <w:rFonts w:ascii="Arial" w:cs="Arial" w:eastAsia="Arial" w:hAnsi="Arial"/>
          <w:b/>
          <w:bCs/>
          <w:color w:val="2C2C2C"/>
          <w:sz w:val="24"/>
          <w:szCs w:val="24"/>
        </w:rPr>
        <w:t xml:space="preserve">Who Should Strongly Consider Motorcycle Insurance Even If Not Required</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D4621A"/>
          <w:sz w:val="22"/>
          <w:szCs w:val="22"/>
        </w:rPr>
        <w:t xml:space="preserve">Off-road and track riders — </w:t>
      </w:r>
      <w:r>
        <w:rPr>
          <w:rFonts w:ascii="Arial" w:cs="Arial" w:eastAsia="Arial" w:hAnsi="Arial"/>
          <w:color w:val="3C3C3C"/>
          <w:sz w:val="22"/>
          <w:szCs w:val="22"/>
        </w:rPr>
        <w:t xml:space="preserve">while off-road bikes are not typically required to be street-legal or insured, dedicated off-road and track insurance is available and recommended for bikes used in competitions or on private tracks</w:t>
      </w:r>
    </w:p>
    <w:p>
      <w:pPr>
        <w:pStyle w:val="ListParagraph"/>
        <w:numPr>
          <w:ilvl w:val="0"/>
          <w:numId w:val="2"/>
        </w:numPr>
        <w:spacing w:after="60" w:before="60"/>
      </w:pPr>
      <w:r>
        <w:rPr>
          <w:rFonts w:ascii="Arial" w:cs="Arial" w:eastAsia="Arial" w:hAnsi="Arial"/>
          <w:b/>
          <w:bCs/>
          <w:color w:val="D4621A"/>
          <w:sz w:val="22"/>
          <w:szCs w:val="22"/>
        </w:rPr>
        <w:t xml:space="preserve">Collectors and vintage bike owners — </w:t>
      </w:r>
      <w:r>
        <w:rPr>
          <w:rFonts w:ascii="Arial" w:cs="Arial" w:eastAsia="Arial" w:hAnsi="Arial"/>
          <w:color w:val="3C3C3C"/>
          <w:sz w:val="22"/>
          <w:szCs w:val="22"/>
        </w:rPr>
        <w:t xml:space="preserve">classic and vintage motorcycles often have significant appraised values that far exceed their actual cash value; agreed value specialty insurance protects these investments</w:t>
      </w:r>
    </w:p>
    <w:p>
      <w:pPr>
        <w:pStyle w:val="ListParagraph"/>
        <w:numPr>
          <w:ilvl w:val="0"/>
          <w:numId w:val="2"/>
        </w:numPr>
        <w:spacing w:after="60" w:before="60"/>
      </w:pPr>
      <w:r>
        <w:rPr>
          <w:rFonts w:ascii="Arial" w:cs="Arial" w:eastAsia="Arial" w:hAnsi="Arial"/>
          <w:b/>
          <w:bCs/>
          <w:color w:val="D4621A"/>
          <w:sz w:val="22"/>
          <w:szCs w:val="22"/>
        </w:rPr>
        <w:t xml:space="preserve">High-value motorcycle owners — </w:t>
      </w:r>
      <w:r>
        <w:rPr>
          <w:rFonts w:ascii="Arial" w:cs="Arial" w:eastAsia="Arial" w:hAnsi="Arial"/>
          <w:color w:val="3C3C3C"/>
          <w:sz w:val="22"/>
          <w:szCs w:val="22"/>
        </w:rPr>
        <w:t xml:space="preserve">owners of premium brands such as BMW, Ducati, Harley-Davidson, or Indian motorcycles face replacement costs of $15,000–$40,000+ that justify comprehensive physical damage coverage</w:t>
      </w:r>
    </w:p>
    <w:p>
      <w:pPr>
        <w:pStyle w:val="ListParagraph"/>
        <w:numPr>
          <w:ilvl w:val="0"/>
          <w:numId w:val="2"/>
        </w:numPr>
        <w:spacing w:after="60" w:before="60"/>
      </w:pPr>
      <w:r>
        <w:rPr>
          <w:rFonts w:ascii="Arial" w:cs="Arial" w:eastAsia="Arial" w:hAnsi="Arial"/>
          <w:b/>
          <w:bCs/>
          <w:color w:val="D4621A"/>
          <w:sz w:val="22"/>
          <w:szCs w:val="22"/>
        </w:rPr>
        <w:t xml:space="preserve">Riders in no-insurance states — </w:t>
      </w:r>
      <w:r>
        <w:rPr>
          <w:rFonts w:ascii="Arial" w:cs="Arial" w:eastAsia="Arial" w:hAnsi="Arial"/>
          <w:color w:val="3C3C3C"/>
          <w:sz w:val="22"/>
          <w:szCs w:val="22"/>
        </w:rPr>
        <w:t xml:space="preserve">even where insurance is not legally required, a single at-fault accident can result in personal liability for all damages, medical bills, and legal costs</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1A5C2A" w:sz="18"/>
              <w:bottom w:val="none" w:color="FFFFFF" w:sz="0"/>
              <w:right w:val="none" w:color="FFFFFF" w:sz="0"/>
            </w:tcBorders>
            <w:shd w:fill="EDF7F0" w:val="clear"/>
            <w:tcMar>
              <w:top w:type="dxa" w:w="110"/>
              <w:left w:type="dxa" w:w="200"/>
              <w:bottom w:type="dxa" w:w="110"/>
              <w:right w:type="dxa" w:w="160"/>
            </w:tcMar>
          </w:tcPr>
          <w:p>
            <w:pPr>
              <w:spacing w:after="60" w:before="0"/>
            </w:pPr>
            <w:r>
              <w:rPr>
                <w:rFonts w:ascii="Arial" w:cs="Arial" w:eastAsia="Arial" w:hAnsi="Arial"/>
                <w:b/>
                <w:bCs/>
                <w:caps/>
                <w:color w:val="1A5C2A"/>
                <w:sz w:val="19"/>
                <w:szCs w:val="19"/>
              </w:rPr>
              <w:t xml:space="preserve">The Financial Reality Without Insurance</w:t>
            </w:r>
          </w:p>
          <w:p>
            <w:pPr>
              <w:spacing w:after="0" w:before="0"/>
            </w:pPr>
            <w:r>
              <w:rPr>
                <w:rFonts w:ascii="Arial" w:cs="Arial" w:eastAsia="Arial" w:hAnsi="Arial"/>
                <w:color w:val="1A3A22"/>
                <w:sz w:val="20"/>
                <w:szCs w:val="20"/>
              </w:rPr>
              <w:t xml:space="preserve">A rider without insurance causes an accident injuring two people and totaling a car. Medical bills: $85,000. Vehicle damage: $32,000. Lost wages for injured parties: $18,000. Total liability exposure: $135,000 — all of which the uninsured rider must pay personally, potentially resulting in wage garnishment, asset seizure, and financial devastation.</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D4621A" w:sz="18"/>
              <w:bottom w:val="none" w:color="FFFFFF" w:sz="0"/>
              <w:right w:val="none" w:color="FFFFFF" w:sz="0"/>
            </w:tcBorders>
            <w:shd w:fill="FDF4EE" w:val="clear"/>
            <w:tcMar>
              <w:top w:type="dxa" w:w="110"/>
              <w:left w:type="dxa" w:w="200"/>
              <w:bottom w:type="dxa" w:w="110"/>
              <w:right w:type="dxa" w:w="160"/>
            </w:tcMar>
          </w:tcPr>
          <w:p>
            <w:pPr>
              <w:spacing w:after="0" w:before="0"/>
            </w:pPr>
            <w:r>
              <w:rPr>
                <w:rFonts w:ascii="Arial" w:cs="Arial" w:eastAsia="Arial" w:hAnsi="Arial"/>
                <w:b/>
                <w:bCs/>
                <w:color w:val="C04E00"/>
                <w:sz w:val="20"/>
                <w:szCs w:val="20"/>
              </w:rPr>
              <w:t xml:space="preserve">Key Takeaway: </w:t>
            </w:r>
            <w:r>
              <w:rPr>
                <w:rFonts w:ascii="Arial" w:cs="Arial" w:eastAsia="Arial" w:hAnsi="Arial"/>
                <w:color w:val="3C3C3C"/>
                <w:sz w:val="20"/>
                <w:szCs w:val="20"/>
              </w:rPr>
              <w:t xml:space="preserve">Motorcycle insurance is not just about legal compliance — it is about financial survival. The question is not whether you can afford motorcycle insurance; it is whether you can afford to ride without it.</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2C2C2C" w:val="clear"/>
            <w:tcMar>
              <w:top w:type="dxa" w:w="160"/>
              <w:left w:type="dxa" w:w="240"/>
              <w:bottom w:type="dxa" w:w="160"/>
              <w:right w:type="dxa" w:w="240"/>
            </w:tcMar>
          </w:tcPr>
          <w:p>
            <w:pPr>
              <w:spacing w:after="0" w:before="0"/>
            </w:pPr>
            <w:r>
              <w:rPr>
                <w:rFonts w:ascii="Arial" w:cs="Arial" w:eastAsia="Arial" w:hAnsi="Arial"/>
                <w:b/>
                <w:bCs/>
                <w:color w:val="D4621A"/>
                <w:sz w:val="28"/>
                <w:szCs w:val="28"/>
              </w:rPr>
              <w:t xml:space="preserve">5.  </w:t>
            </w:r>
            <w:r>
              <w:rPr>
                <w:rFonts w:ascii="Arial" w:cs="Arial" w:eastAsia="Arial" w:hAnsi="Arial"/>
                <w:b/>
                <w:bCs/>
                <w:color w:val="FFFFFF"/>
                <w:sz w:val="28"/>
                <w:szCs w:val="28"/>
              </w:rPr>
              <w:t xml:space="preserve">Difference Between Motorcycle and Scooter Insurance</w:t>
            </w:r>
          </w:p>
        </w:tc>
      </w:tr>
    </w:tbl>
    <w:p>
      <w:pPr>
        <w:spacing w:after="0" w:before="100"/>
      </w:pPr>
      <w:r>
        <w:rPr>
          <w:rFonts w:ascii="Arial" w:cs="Arial" w:eastAsia="Arial" w:hAnsi="Arial"/>
        </w:rPr>
        <w:t xml:space="preserve"/>
      </w:r>
    </w:p>
    <w:p>
      <w:pPr>
        <w:spacing w:after="110" w:before="80"/>
      </w:pPr>
      <w:r>
        <w:rPr>
          <w:rFonts w:ascii="Arial" w:cs="Arial" w:eastAsia="Arial" w:hAnsi="Arial"/>
          <w:color w:val="1A1A1A"/>
          <w:sz w:val="22"/>
          <w:szCs w:val="22"/>
        </w:rPr>
        <w:t xml:space="preserve">Motorcycles and scooters are both two-wheeled motorized vehicles, but they are distinct vehicle types with different engineering, performance characteristics, legal classifications, and insurance requirements. Understanding these differences helps riders choose the right type of coverage for their specific vehicle.</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C0C8D0" w:sz="1"/>
              <w:left w:val="single" w:color="C0C8D0" w:sz="1"/>
              <w:bottom w:val="single" w:color="C0C8D0" w:sz="1"/>
              <w:right w:val="single" w:color="C0C8D0" w:sz="1"/>
            </w:tcBorders>
            <w:shd w:fill="F2F4F6" w:val="clear"/>
            <w:tcMar>
              <w:top w:type="dxa" w:w="110"/>
              <w:left w:type="dxa" w:w="160"/>
              <w:bottom w:type="dxa" w:w="110"/>
              <w:right w:type="dxa" w:w="160"/>
            </w:tcMar>
          </w:tcPr>
          <w:p>
            <w:pPr>
              <w:spacing w:after="60" w:before="0"/>
            </w:pPr>
            <w:r>
              <w:rPr>
                <w:rFonts w:ascii="Arial" w:cs="Arial" w:eastAsia="Arial" w:hAnsi="Arial"/>
                <w:b/>
                <w:bCs/>
                <w:color w:val="C04E00"/>
                <w:sz w:val="19"/>
                <w:szCs w:val="19"/>
              </w:rPr>
              <w:t xml:space="preserve">Motorcycle Definition</w:t>
            </w:r>
          </w:p>
          <w:p>
            <w:pPr>
              <w:spacing w:after="0" w:before="0"/>
            </w:pPr>
            <w:r>
              <w:rPr>
                <w:rFonts w:ascii="Arial" w:cs="Arial" w:eastAsia="Arial" w:hAnsi="Arial"/>
                <w:color w:val="3C3C3C"/>
                <w:sz w:val="20"/>
                <w:szCs w:val="20"/>
              </w:rPr>
              <w:t xml:space="preserve">A two-wheeled motorized vehicle with the engine mounted in the frame, typically with the rider sitting astride the vehicle. Motorcycles range from small-displacement commuter bikes to large-displacement cruisers, touring bikes, and high-performance sport bikes.</w:t>
            </w:r>
          </w:p>
        </w:tc>
        <w:tc>
          <w:tcPr>
            <w:tcW w:type="dxa" w:w="4620"/>
            <w:tcBorders>
              <w:top w:val="single" w:color="C0C8D0" w:sz="1"/>
              <w:left w:val="single" w:color="C0C8D0" w:sz="1"/>
              <w:bottom w:val="single" w:color="C0C8D0" w:sz="1"/>
              <w:right w:val="single" w:color="C0C8D0" w:sz="1"/>
            </w:tcBorders>
            <w:shd w:fill="F2F4F6" w:val="clear"/>
            <w:tcMar>
              <w:top w:type="dxa" w:w="110"/>
              <w:left w:type="dxa" w:w="160"/>
              <w:bottom w:type="dxa" w:w="110"/>
              <w:right w:type="dxa" w:w="160"/>
            </w:tcMar>
          </w:tcPr>
          <w:p>
            <w:pPr>
              <w:spacing w:after="60" w:before="0"/>
            </w:pPr>
            <w:r>
              <w:rPr>
                <w:rFonts w:ascii="Arial" w:cs="Arial" w:eastAsia="Arial" w:hAnsi="Arial"/>
                <w:b/>
                <w:bCs/>
                <w:color w:val="C04E00"/>
                <w:sz w:val="19"/>
                <w:szCs w:val="19"/>
              </w:rPr>
              <w:t xml:space="preserve">Scooter Definition</w:t>
            </w:r>
          </w:p>
          <w:p>
            <w:pPr>
              <w:spacing w:after="0" w:before="0"/>
            </w:pPr>
            <w:r>
              <w:rPr>
                <w:rFonts w:ascii="Arial" w:cs="Arial" w:eastAsia="Arial" w:hAnsi="Arial"/>
                <w:color w:val="3C3C3C"/>
                <w:sz w:val="20"/>
                <w:szCs w:val="20"/>
              </w:rPr>
              <w:t xml:space="preserve">A two-wheeled motorized vehicle characterized by a step-through frame design, a platform for the rider’s feet, and typically smaller engine displacement (50cc to 250cc or larger). Scooters generally have smaller wheels and an automatic transmission.</w:t>
            </w:r>
          </w:p>
        </w:tc>
      </w:tr>
      <w:tr>
        <w:tc>
          <w:tcPr>
            <w:tcW w:type="dxa" w:w="4620"/>
            <w:tcBorders>
              <w:top w:val="single" w:color="C0C8D0" w:sz="1"/>
              <w:left w:val="single" w:color="C0C8D0" w:sz="1"/>
              <w:bottom w:val="single" w:color="C0C8D0" w:sz="1"/>
              <w:right w:val="single" w:color="C0C8D0" w:sz="1"/>
            </w:tcBorders>
            <w:shd w:fill="F2F4F6" w:val="clear"/>
            <w:tcMar>
              <w:top w:type="dxa" w:w="110"/>
              <w:left w:type="dxa" w:w="160"/>
              <w:bottom w:type="dxa" w:w="110"/>
              <w:right w:type="dxa" w:w="160"/>
            </w:tcMar>
          </w:tcPr>
          <w:p>
            <w:pPr>
              <w:spacing w:after="60" w:before="0"/>
            </w:pPr>
            <w:r>
              <w:rPr>
                <w:rFonts w:ascii="Arial" w:cs="Arial" w:eastAsia="Arial" w:hAnsi="Arial"/>
                <w:b/>
                <w:bCs/>
                <w:color w:val="C04E00"/>
                <w:sz w:val="19"/>
                <w:szCs w:val="19"/>
              </w:rPr>
              <w:t xml:space="preserve">Engine Displacement</w:t>
            </w:r>
          </w:p>
          <w:p>
            <w:pPr>
              <w:spacing w:after="0" w:before="0"/>
            </w:pPr>
            <w:r>
              <w:rPr>
                <w:rFonts w:ascii="Arial" w:cs="Arial" w:eastAsia="Arial" w:hAnsi="Arial"/>
                <w:color w:val="3C3C3C"/>
                <w:sz w:val="20"/>
                <w:szCs w:val="20"/>
              </w:rPr>
              <w:t xml:space="preserve">Motorcycles typically range from 125cc to 2,500cc+. Scooters are commonly 50cc to 300cc, though maxi-scooters may reach 650cc or larger. Engine size directly affects insurance classification and required coverage.</w:t>
            </w:r>
          </w:p>
        </w:tc>
        <w:tc>
          <w:tcPr>
            <w:tcW w:type="dxa" w:w="4620"/>
            <w:tcBorders>
              <w:top w:val="single" w:color="C0C8D0" w:sz="1"/>
              <w:left w:val="single" w:color="C0C8D0" w:sz="1"/>
              <w:bottom w:val="single" w:color="C0C8D0" w:sz="1"/>
              <w:right w:val="single" w:color="C0C8D0" w:sz="1"/>
            </w:tcBorders>
            <w:shd w:fill="F2F4F6" w:val="clear"/>
            <w:tcMar>
              <w:top w:type="dxa" w:w="110"/>
              <w:left w:type="dxa" w:w="160"/>
              <w:bottom w:type="dxa" w:w="110"/>
              <w:right w:type="dxa" w:w="160"/>
            </w:tcMar>
          </w:tcPr>
          <w:p>
            <w:pPr>
              <w:spacing w:after="60" w:before="0"/>
            </w:pPr>
            <w:r>
              <w:rPr>
                <w:rFonts w:ascii="Arial" w:cs="Arial" w:eastAsia="Arial" w:hAnsi="Arial"/>
                <w:b/>
                <w:bCs/>
                <w:color w:val="C04E00"/>
                <w:sz w:val="19"/>
                <w:szCs w:val="19"/>
              </w:rPr>
              <w:t xml:space="preserve">Speed and Performance</w:t>
            </w:r>
          </w:p>
          <w:p>
            <w:pPr>
              <w:spacing w:after="0" w:before="0"/>
            </w:pPr>
            <w:r>
              <w:rPr>
                <w:rFonts w:ascii="Arial" w:cs="Arial" w:eastAsia="Arial" w:hAnsi="Arial"/>
                <w:color w:val="3C3C3C"/>
                <w:sz w:val="20"/>
                <w:szCs w:val="20"/>
              </w:rPr>
              <w:t xml:space="preserve">Motorcycles are generally capable of higher speeds and more aggressive riding. Most scooters are designed for urban commuting at lower speeds, though sport scooters can reach highway speeds.</w:t>
            </w:r>
          </w:p>
        </w:tc>
      </w:tr>
    </w:tbl>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900"/>
        <w:gridCol w:w="3130"/>
        <w:gridCol w:w="3330"/>
      </w:tblGrid>
      <w:tr>
        <w:tc>
          <w:tcPr>
            <w:tcW w:type="dxa" w:w="2900"/>
            <w:tcBorders>
              <w:top w:val="none" w:color="FFFFFF" w:sz="0"/>
              <w:left w:val="none" w:color="FFFFFF" w:sz="0"/>
              <w:bottom w:val="none" w:color="FFFFFF" w:sz="0"/>
              <w:right w:val="none" w:color="FFFFFF" w:sz="0"/>
            </w:tcBorders>
            <w:shd w:fill="3A455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Factor</w:t>
            </w:r>
          </w:p>
        </w:tc>
        <w:tc>
          <w:tcPr>
            <w:tcW w:type="dxa" w:w="3130"/>
            <w:tcBorders>
              <w:top w:val="none" w:color="FFFFFF" w:sz="0"/>
              <w:left w:val="none" w:color="FFFFFF" w:sz="0"/>
              <w:bottom w:val="none" w:color="FFFFFF" w:sz="0"/>
              <w:right w:val="none" w:color="FFFFFF" w:sz="0"/>
            </w:tcBorders>
            <w:shd w:fill="C04E0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Motorcycle Insurance</w:t>
            </w:r>
          </w:p>
        </w:tc>
        <w:tc>
          <w:tcPr>
            <w:tcW w:type="dxa" w:w="3330"/>
            <w:tcBorders>
              <w:top w:val="none" w:color="FFFFFF" w:sz="0"/>
              <w:left w:val="none" w:color="FFFFFF" w:sz="0"/>
              <w:bottom w:val="none" w:color="FFFFFF" w:sz="0"/>
              <w:right w:val="none" w:color="FFFFFF" w:sz="0"/>
            </w:tcBorders>
            <w:shd w:fill="C04E0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Scooter Insurance</w:t>
            </w:r>
          </w:p>
        </w:tc>
      </w:tr>
      <w:tr>
        <w:tc>
          <w:tcPr>
            <w:tcW w:type="dxa" w:w="2900"/>
            <w:tcBorders>
              <w:top w:val="single" w:color="C0C8D0" w:sz="1"/>
              <w:left w:val="single" w:color="C0C8D0" w:sz="1"/>
              <w:bottom w:val="single" w:color="C0C8D0" w:sz="1"/>
              <w:right w:val="single" w:color="C0C8D0" w:sz="1"/>
            </w:tcBorders>
            <w:shd w:fill="FFFFFF" w:val="clear"/>
            <w:tcMar>
              <w:top w:type="dxa" w:w="80"/>
              <w:left w:type="dxa" w:w="160"/>
              <w:bottom w:type="dxa" w:w="80"/>
              <w:right w:type="dxa" w:w="160"/>
            </w:tcMar>
          </w:tcPr>
          <w:p>
            <w:pPr>
              <w:spacing w:after="0" w:before="0"/>
            </w:pPr>
            <w:r>
              <w:rPr>
                <w:rFonts w:ascii="Arial" w:cs="Arial" w:eastAsia="Arial" w:hAnsi="Arial"/>
                <w:b/>
                <w:bCs/>
                <w:color w:val="1A1A1A"/>
                <w:sz w:val="20"/>
                <w:szCs w:val="20"/>
              </w:rPr>
              <w:t xml:space="preserve">Coverage type</w:t>
            </w:r>
          </w:p>
        </w:tc>
        <w:tc>
          <w:tcPr>
            <w:tcW w:type="dxa" w:w="3130"/>
            <w:tcBorders>
              <w:top w:val="single" w:color="C0C8D0" w:sz="1"/>
              <w:left w:val="single" w:color="C0C8D0" w:sz="1"/>
              <w:bottom w:val="single" w:color="C0C8D0" w:sz="1"/>
              <w:right w:val="single" w:color="C0C8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Full motorcycle policy required</w:t>
            </w:r>
          </w:p>
        </w:tc>
        <w:tc>
          <w:tcPr>
            <w:tcW w:type="dxa" w:w="3330"/>
            <w:tcBorders>
              <w:top w:val="single" w:color="C0C8D0" w:sz="1"/>
              <w:left w:val="single" w:color="C0C8D0" w:sz="1"/>
              <w:bottom w:val="single" w:color="C0C8D0" w:sz="1"/>
              <w:right w:val="single" w:color="C0C8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May qualify for scooter-specific policy</w:t>
            </w:r>
          </w:p>
        </w:tc>
      </w:tr>
      <w:tr>
        <w:tc>
          <w:tcPr>
            <w:tcW w:type="dxa" w:w="2900"/>
            <w:tcBorders>
              <w:top w:val="single" w:color="C0C8D0" w:sz="1"/>
              <w:left w:val="single" w:color="C0C8D0" w:sz="1"/>
              <w:bottom w:val="single" w:color="C0C8D0" w:sz="1"/>
              <w:right w:val="single" w:color="C0C8D0" w:sz="1"/>
            </w:tcBorders>
            <w:shd w:fill="F2F4F6" w:val="clear"/>
            <w:tcMar>
              <w:top w:type="dxa" w:w="80"/>
              <w:left w:type="dxa" w:w="160"/>
              <w:bottom w:type="dxa" w:w="80"/>
              <w:right w:type="dxa" w:w="160"/>
            </w:tcMar>
          </w:tcPr>
          <w:p>
            <w:pPr>
              <w:spacing w:after="0" w:before="0"/>
            </w:pPr>
            <w:r>
              <w:rPr>
                <w:rFonts w:ascii="Arial" w:cs="Arial" w:eastAsia="Arial" w:hAnsi="Arial"/>
                <w:b/>
                <w:bCs/>
                <w:color w:val="1A1A1A"/>
                <w:sz w:val="20"/>
                <w:szCs w:val="20"/>
              </w:rPr>
              <w:t xml:space="preserve">Liability requirement</w:t>
            </w:r>
          </w:p>
        </w:tc>
        <w:tc>
          <w:tcPr>
            <w:tcW w:type="dxa" w:w="3130"/>
            <w:tcBorders>
              <w:top w:val="single" w:color="C0C8D0" w:sz="1"/>
              <w:left w:val="single" w:color="C0C8D0" w:sz="1"/>
              <w:bottom w:val="single" w:color="C0C8D0" w:sz="1"/>
              <w:right w:val="single" w:color="C0C8D0" w:sz="1"/>
            </w:tcBorders>
            <w:shd w:fill="F2F4F6"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Required in most states</w:t>
            </w:r>
          </w:p>
        </w:tc>
        <w:tc>
          <w:tcPr>
            <w:tcW w:type="dxa" w:w="3330"/>
            <w:tcBorders>
              <w:top w:val="single" w:color="C0C8D0" w:sz="1"/>
              <w:left w:val="single" w:color="C0C8D0" w:sz="1"/>
              <w:bottom w:val="single" w:color="C0C8D0" w:sz="1"/>
              <w:right w:val="single" w:color="C0C8D0" w:sz="1"/>
            </w:tcBorders>
            <w:shd w:fill="F2F4F6"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Required if street-legal and registered</w:t>
            </w:r>
          </w:p>
        </w:tc>
      </w:tr>
      <w:tr>
        <w:tc>
          <w:tcPr>
            <w:tcW w:type="dxa" w:w="2900"/>
            <w:tcBorders>
              <w:top w:val="single" w:color="C0C8D0" w:sz="1"/>
              <w:left w:val="single" w:color="C0C8D0" w:sz="1"/>
              <w:bottom w:val="single" w:color="C0C8D0" w:sz="1"/>
              <w:right w:val="single" w:color="C0C8D0" w:sz="1"/>
            </w:tcBorders>
            <w:shd w:fill="FFFFFF" w:val="clear"/>
            <w:tcMar>
              <w:top w:type="dxa" w:w="80"/>
              <w:left w:type="dxa" w:w="160"/>
              <w:bottom w:type="dxa" w:w="80"/>
              <w:right w:type="dxa" w:w="160"/>
            </w:tcMar>
          </w:tcPr>
          <w:p>
            <w:pPr>
              <w:spacing w:after="0" w:before="0"/>
            </w:pPr>
            <w:r>
              <w:rPr>
                <w:rFonts w:ascii="Arial" w:cs="Arial" w:eastAsia="Arial" w:hAnsi="Arial"/>
                <w:b/>
                <w:bCs/>
                <w:color w:val="1A1A1A"/>
                <w:sz w:val="20"/>
                <w:szCs w:val="20"/>
              </w:rPr>
              <w:t xml:space="preserve">Physical damage</w:t>
            </w:r>
          </w:p>
        </w:tc>
        <w:tc>
          <w:tcPr>
            <w:tcW w:type="dxa" w:w="3130"/>
            <w:tcBorders>
              <w:top w:val="single" w:color="C0C8D0" w:sz="1"/>
              <w:left w:val="single" w:color="C0C8D0" w:sz="1"/>
              <w:bottom w:val="single" w:color="C0C8D0" w:sz="1"/>
              <w:right w:val="single" w:color="C0C8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Collision and comprehensive available</w:t>
            </w:r>
          </w:p>
        </w:tc>
        <w:tc>
          <w:tcPr>
            <w:tcW w:type="dxa" w:w="3330"/>
            <w:tcBorders>
              <w:top w:val="single" w:color="C0C8D0" w:sz="1"/>
              <w:left w:val="single" w:color="C0C8D0" w:sz="1"/>
              <w:bottom w:val="single" w:color="C0C8D0" w:sz="1"/>
              <w:right w:val="single" w:color="C0C8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Available; premiums often lower</w:t>
            </w:r>
          </w:p>
        </w:tc>
      </w:tr>
      <w:tr>
        <w:tc>
          <w:tcPr>
            <w:tcW w:type="dxa" w:w="2900"/>
            <w:tcBorders>
              <w:top w:val="single" w:color="C0C8D0" w:sz="1"/>
              <w:left w:val="single" w:color="C0C8D0" w:sz="1"/>
              <w:bottom w:val="single" w:color="C0C8D0" w:sz="1"/>
              <w:right w:val="single" w:color="C0C8D0" w:sz="1"/>
            </w:tcBorders>
            <w:shd w:fill="F2F4F6" w:val="clear"/>
            <w:tcMar>
              <w:top w:type="dxa" w:w="80"/>
              <w:left w:type="dxa" w:w="160"/>
              <w:bottom w:type="dxa" w:w="80"/>
              <w:right w:type="dxa" w:w="160"/>
            </w:tcMar>
          </w:tcPr>
          <w:p>
            <w:pPr>
              <w:spacing w:after="0" w:before="0"/>
            </w:pPr>
            <w:r>
              <w:rPr>
                <w:rFonts w:ascii="Arial" w:cs="Arial" w:eastAsia="Arial" w:hAnsi="Arial"/>
                <w:b/>
                <w:bCs/>
                <w:color w:val="1A1A1A"/>
                <w:sz w:val="20"/>
                <w:szCs w:val="20"/>
              </w:rPr>
              <w:t xml:space="preserve">Engine size impact</w:t>
            </w:r>
          </w:p>
        </w:tc>
        <w:tc>
          <w:tcPr>
            <w:tcW w:type="dxa" w:w="3130"/>
            <w:tcBorders>
              <w:top w:val="single" w:color="C0C8D0" w:sz="1"/>
              <w:left w:val="single" w:color="C0C8D0" w:sz="1"/>
              <w:bottom w:val="single" w:color="C0C8D0" w:sz="1"/>
              <w:right w:val="single" w:color="C0C8D0" w:sz="1"/>
            </w:tcBorders>
            <w:shd w:fill="F2F4F6"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Higher displacement = higher premium</w:t>
            </w:r>
          </w:p>
        </w:tc>
        <w:tc>
          <w:tcPr>
            <w:tcW w:type="dxa" w:w="3330"/>
            <w:tcBorders>
              <w:top w:val="single" w:color="C0C8D0" w:sz="1"/>
              <w:left w:val="single" w:color="C0C8D0" w:sz="1"/>
              <w:bottom w:val="single" w:color="C0C8D0" w:sz="1"/>
              <w:right w:val="single" w:color="C0C8D0" w:sz="1"/>
            </w:tcBorders>
            <w:shd w:fill="F2F4F6"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Smaller engines = generally lower premiums</w:t>
            </w:r>
          </w:p>
        </w:tc>
      </w:tr>
      <w:tr>
        <w:tc>
          <w:tcPr>
            <w:tcW w:type="dxa" w:w="2900"/>
            <w:tcBorders>
              <w:top w:val="single" w:color="C0C8D0" w:sz="1"/>
              <w:left w:val="single" w:color="C0C8D0" w:sz="1"/>
              <w:bottom w:val="single" w:color="C0C8D0" w:sz="1"/>
              <w:right w:val="single" w:color="C0C8D0" w:sz="1"/>
            </w:tcBorders>
            <w:shd w:fill="FFFFFF" w:val="clear"/>
            <w:tcMar>
              <w:top w:type="dxa" w:w="80"/>
              <w:left w:type="dxa" w:w="160"/>
              <w:bottom w:type="dxa" w:w="80"/>
              <w:right w:type="dxa" w:w="160"/>
            </w:tcMar>
          </w:tcPr>
          <w:p>
            <w:pPr>
              <w:spacing w:after="0" w:before="0"/>
            </w:pPr>
            <w:r>
              <w:rPr>
                <w:rFonts w:ascii="Arial" w:cs="Arial" w:eastAsia="Arial" w:hAnsi="Arial"/>
                <w:b/>
                <w:bCs/>
                <w:color w:val="1A1A1A"/>
                <w:sz w:val="20"/>
                <w:szCs w:val="20"/>
              </w:rPr>
              <w:t xml:space="preserve">Licensing requirement</w:t>
            </w:r>
          </w:p>
        </w:tc>
        <w:tc>
          <w:tcPr>
            <w:tcW w:type="dxa" w:w="3130"/>
            <w:tcBorders>
              <w:top w:val="single" w:color="C0C8D0" w:sz="1"/>
              <w:left w:val="single" w:color="C0C8D0" w:sz="1"/>
              <w:bottom w:val="single" w:color="C0C8D0" w:sz="1"/>
              <w:right w:val="single" w:color="C0C8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Motorcycle endorsement typically required</w:t>
            </w:r>
          </w:p>
        </w:tc>
        <w:tc>
          <w:tcPr>
            <w:tcW w:type="dxa" w:w="3330"/>
            <w:tcBorders>
              <w:top w:val="single" w:color="C0C8D0" w:sz="1"/>
              <w:left w:val="single" w:color="C0C8D0" w:sz="1"/>
              <w:bottom w:val="single" w:color="C0C8D0" w:sz="1"/>
              <w:right w:val="single" w:color="C0C8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Varies by state; M endorsement may be required</w:t>
            </w:r>
          </w:p>
        </w:tc>
      </w:tr>
      <w:tr>
        <w:tc>
          <w:tcPr>
            <w:tcW w:type="dxa" w:w="2900"/>
            <w:tcBorders>
              <w:top w:val="single" w:color="C0C8D0" w:sz="1"/>
              <w:left w:val="single" w:color="C0C8D0" w:sz="1"/>
              <w:bottom w:val="single" w:color="C0C8D0" w:sz="1"/>
              <w:right w:val="single" w:color="C0C8D0" w:sz="1"/>
            </w:tcBorders>
            <w:shd w:fill="F2F4F6" w:val="clear"/>
            <w:tcMar>
              <w:top w:type="dxa" w:w="80"/>
              <w:left w:type="dxa" w:w="160"/>
              <w:bottom w:type="dxa" w:w="80"/>
              <w:right w:type="dxa" w:w="160"/>
            </w:tcMar>
          </w:tcPr>
          <w:p>
            <w:pPr>
              <w:spacing w:after="0" w:before="0"/>
            </w:pPr>
            <w:r>
              <w:rPr>
                <w:rFonts w:ascii="Arial" w:cs="Arial" w:eastAsia="Arial" w:hAnsi="Arial"/>
                <w:b/>
                <w:bCs/>
                <w:color w:val="1A1A1A"/>
                <w:sz w:val="20"/>
                <w:szCs w:val="20"/>
              </w:rPr>
              <w:t xml:space="preserve">Urban use discount</w:t>
            </w:r>
          </w:p>
        </w:tc>
        <w:tc>
          <w:tcPr>
            <w:tcW w:type="dxa" w:w="3130"/>
            <w:tcBorders>
              <w:top w:val="single" w:color="C0C8D0" w:sz="1"/>
              <w:left w:val="single" w:color="C0C8D0" w:sz="1"/>
              <w:bottom w:val="single" w:color="C0C8D0" w:sz="1"/>
              <w:right w:val="single" w:color="C0C8D0" w:sz="1"/>
            </w:tcBorders>
            <w:shd w:fill="F2F4F6"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Generally not available</w:t>
            </w:r>
          </w:p>
        </w:tc>
        <w:tc>
          <w:tcPr>
            <w:tcW w:type="dxa" w:w="3330"/>
            <w:tcBorders>
              <w:top w:val="single" w:color="C0C8D0" w:sz="1"/>
              <w:left w:val="single" w:color="C0C8D0" w:sz="1"/>
              <w:bottom w:val="single" w:color="C0C8D0" w:sz="1"/>
              <w:right w:val="single" w:color="C0C8D0" w:sz="1"/>
            </w:tcBorders>
            <w:shd w:fill="F2F4F6"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Some carriers offer urban/commuter discounts</w:t>
            </w:r>
          </w:p>
        </w:tc>
      </w:tr>
      <w:tr>
        <w:tc>
          <w:tcPr>
            <w:tcW w:type="dxa" w:w="2900"/>
            <w:tcBorders>
              <w:top w:val="single" w:color="C0C8D0" w:sz="1"/>
              <w:left w:val="single" w:color="C0C8D0" w:sz="1"/>
              <w:bottom w:val="single" w:color="C0C8D0" w:sz="1"/>
              <w:right w:val="single" w:color="C0C8D0" w:sz="1"/>
            </w:tcBorders>
            <w:shd w:fill="FFFFFF" w:val="clear"/>
            <w:tcMar>
              <w:top w:type="dxa" w:w="80"/>
              <w:left w:type="dxa" w:w="160"/>
              <w:bottom w:type="dxa" w:w="80"/>
              <w:right w:type="dxa" w:w="160"/>
            </w:tcMar>
          </w:tcPr>
          <w:p>
            <w:pPr>
              <w:spacing w:after="0" w:before="0"/>
            </w:pPr>
            <w:r>
              <w:rPr>
                <w:rFonts w:ascii="Arial" w:cs="Arial" w:eastAsia="Arial" w:hAnsi="Arial"/>
                <w:b/>
                <w:bCs/>
                <w:color w:val="1A1A1A"/>
                <w:sz w:val="20"/>
                <w:szCs w:val="20"/>
              </w:rPr>
              <w:t xml:space="preserve">Speed/performance risk</w:t>
            </w:r>
          </w:p>
        </w:tc>
        <w:tc>
          <w:tcPr>
            <w:tcW w:type="dxa" w:w="3130"/>
            <w:tcBorders>
              <w:top w:val="single" w:color="C0C8D0" w:sz="1"/>
              <w:left w:val="single" w:color="C0C8D0" w:sz="1"/>
              <w:bottom w:val="single" w:color="C0C8D0" w:sz="1"/>
              <w:right w:val="single" w:color="C0C8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Higher risk — higher premiums</w:t>
            </w:r>
          </w:p>
        </w:tc>
        <w:tc>
          <w:tcPr>
            <w:tcW w:type="dxa" w:w="3330"/>
            <w:tcBorders>
              <w:top w:val="single" w:color="C0C8D0" w:sz="1"/>
              <w:left w:val="single" w:color="C0C8D0" w:sz="1"/>
              <w:bottom w:val="single" w:color="C0C8D0" w:sz="1"/>
              <w:right w:val="single" w:color="C0C8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Lower risk profile for smaller scooters</w:t>
            </w:r>
          </w:p>
        </w:tc>
      </w:tr>
      <w:tr>
        <w:tc>
          <w:tcPr>
            <w:tcW w:type="dxa" w:w="2900"/>
            <w:tcBorders>
              <w:top w:val="single" w:color="C0C8D0" w:sz="1"/>
              <w:left w:val="single" w:color="C0C8D0" w:sz="1"/>
              <w:bottom w:val="single" w:color="C0C8D0" w:sz="1"/>
              <w:right w:val="single" w:color="C0C8D0" w:sz="1"/>
            </w:tcBorders>
            <w:shd w:fill="F2F4F6" w:val="clear"/>
            <w:tcMar>
              <w:top w:type="dxa" w:w="80"/>
              <w:left w:type="dxa" w:w="160"/>
              <w:bottom w:type="dxa" w:w="80"/>
              <w:right w:type="dxa" w:w="160"/>
            </w:tcMar>
          </w:tcPr>
          <w:p>
            <w:pPr>
              <w:spacing w:after="0" w:before="0"/>
            </w:pPr>
            <w:r>
              <w:rPr>
                <w:rFonts w:ascii="Arial" w:cs="Arial" w:eastAsia="Arial" w:hAnsi="Arial"/>
                <w:b/>
                <w:bCs/>
                <w:color w:val="1A1A1A"/>
                <w:sz w:val="20"/>
                <w:szCs w:val="20"/>
              </w:rPr>
              <w:t xml:space="preserve">Guest passenger</w:t>
            </w:r>
          </w:p>
        </w:tc>
        <w:tc>
          <w:tcPr>
            <w:tcW w:type="dxa" w:w="3130"/>
            <w:tcBorders>
              <w:top w:val="single" w:color="C0C8D0" w:sz="1"/>
              <w:left w:val="single" w:color="C0C8D0" w:sz="1"/>
              <w:bottom w:val="single" w:color="C0C8D0" w:sz="1"/>
              <w:right w:val="single" w:color="C0C8D0" w:sz="1"/>
            </w:tcBorders>
            <w:shd w:fill="F2F4F6"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Endorsement often required</w:t>
            </w:r>
          </w:p>
        </w:tc>
        <w:tc>
          <w:tcPr>
            <w:tcW w:type="dxa" w:w="3330"/>
            <w:tcBorders>
              <w:top w:val="single" w:color="C0C8D0" w:sz="1"/>
              <w:left w:val="single" w:color="C0C8D0" w:sz="1"/>
              <w:bottom w:val="single" w:color="C0C8D0" w:sz="1"/>
              <w:right w:val="single" w:color="C0C8D0" w:sz="1"/>
            </w:tcBorders>
            <w:shd w:fill="F2F4F6"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Often included if seat equipped</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A6400" w:sz="18"/>
              <w:bottom w:val="none" w:color="FFFFFF" w:sz="0"/>
              <w:right w:val="none" w:color="FFFFFF" w:sz="0"/>
            </w:tcBorders>
            <w:shd w:fill="FFFBEE" w:val="clear"/>
            <w:tcMar>
              <w:top w:type="dxa" w:w="110"/>
              <w:left w:type="dxa" w:w="200"/>
              <w:bottom w:type="dxa" w:w="110"/>
              <w:right w:type="dxa" w:w="160"/>
            </w:tcMar>
          </w:tcPr>
          <w:p>
            <w:pPr>
              <w:spacing w:after="60" w:before="0"/>
            </w:pPr>
            <w:r>
              <w:rPr>
                <w:rFonts w:ascii="Arial" w:cs="Arial" w:eastAsia="Arial" w:hAnsi="Arial"/>
                <w:b/>
                <w:bCs/>
                <w:caps/>
                <w:color w:val="8A6400"/>
                <w:sz w:val="19"/>
                <w:szCs w:val="19"/>
              </w:rPr>
              <w:t xml:space="preserve">Maxi-Scooters and Large-Displacement Scooters</w:t>
            </w:r>
          </w:p>
          <w:p>
            <w:pPr>
              <w:spacing w:after="0" w:before="0"/>
            </w:pPr>
            <w:r>
              <w:rPr>
                <w:rFonts w:ascii="Arial" w:cs="Arial" w:eastAsia="Arial" w:hAnsi="Arial"/>
                <w:color w:val="4A3800"/>
                <w:sz w:val="20"/>
                <w:szCs w:val="20"/>
              </w:rPr>
              <w:t xml:space="preserve">Large scooters (400cc and above, sometimes called maxi-scooters) are often classified and insured as motorcycles rather than scooters by insurance carriers. The classification may depend on the insurer’s underwriting guidelines as well as the state’s vehicle registration category. Always confirm with your insurer how your specific vehicle is classified before purchasing coverage.</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D4621A" w:sz="18"/>
              <w:bottom w:val="none" w:color="FFFFFF" w:sz="0"/>
              <w:right w:val="none" w:color="FFFFFF" w:sz="0"/>
            </w:tcBorders>
            <w:shd w:fill="FDF4EE" w:val="clear"/>
            <w:tcMar>
              <w:top w:type="dxa" w:w="110"/>
              <w:left w:type="dxa" w:w="200"/>
              <w:bottom w:type="dxa" w:w="110"/>
              <w:right w:type="dxa" w:w="160"/>
            </w:tcMar>
          </w:tcPr>
          <w:p>
            <w:pPr>
              <w:spacing w:after="0" w:before="0"/>
            </w:pPr>
            <w:r>
              <w:rPr>
                <w:rFonts w:ascii="Arial" w:cs="Arial" w:eastAsia="Arial" w:hAnsi="Arial"/>
                <w:b/>
                <w:bCs/>
                <w:color w:val="C04E00"/>
                <w:sz w:val="20"/>
                <w:szCs w:val="20"/>
              </w:rPr>
              <w:t xml:space="preserve">Key Takeaway: </w:t>
            </w:r>
            <w:r>
              <w:rPr>
                <w:rFonts w:ascii="Arial" w:cs="Arial" w:eastAsia="Arial" w:hAnsi="Arial"/>
                <w:color w:val="3C3C3C"/>
                <w:sz w:val="20"/>
                <w:szCs w:val="20"/>
              </w:rPr>
              <w:t xml:space="preserve">The distinction between motorcycle and scooter insurance matters most for licensing requirements, premium pricing, and coverage availability. When shopping for insurance, describe your vehicle accurately and confirm that the policy type matches your vehicle’s registration category in your state.</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2C2C2C" w:val="clear"/>
            <w:tcMar>
              <w:top w:type="dxa" w:w="160"/>
              <w:left w:type="dxa" w:w="240"/>
              <w:bottom w:type="dxa" w:w="160"/>
              <w:right w:type="dxa" w:w="240"/>
            </w:tcMar>
          </w:tcPr>
          <w:p>
            <w:pPr>
              <w:spacing w:after="0" w:before="0"/>
            </w:pPr>
            <w:r>
              <w:rPr>
                <w:rFonts w:ascii="Arial" w:cs="Arial" w:eastAsia="Arial" w:hAnsi="Arial"/>
                <w:b/>
                <w:bCs/>
                <w:color w:val="D4621A"/>
                <w:sz w:val="28"/>
                <w:szCs w:val="28"/>
              </w:rPr>
              <w:t xml:space="preserve">6.  </w:t>
            </w:r>
            <w:r>
              <w:rPr>
                <w:rFonts w:ascii="Arial" w:cs="Arial" w:eastAsia="Arial" w:hAnsi="Arial"/>
                <w:b/>
                <w:bCs/>
                <w:color w:val="FFFFFF"/>
                <w:sz w:val="28"/>
                <w:szCs w:val="28"/>
              </w:rPr>
              <w:t xml:space="preserve">Moped Insurance vs. Motorcycle Insurance</w:t>
            </w:r>
          </w:p>
        </w:tc>
      </w:tr>
    </w:tbl>
    <w:p>
      <w:pPr>
        <w:spacing w:after="0" w:before="100"/>
      </w:pPr>
      <w:r>
        <w:rPr>
          <w:rFonts w:ascii="Arial" w:cs="Arial" w:eastAsia="Arial" w:hAnsi="Arial"/>
        </w:rPr>
        <w:t xml:space="preserve"/>
      </w:r>
    </w:p>
    <w:p>
      <w:pPr>
        <w:spacing w:after="110" w:before="80"/>
      </w:pPr>
      <w:r>
        <w:rPr>
          <w:rFonts w:ascii="Arial" w:cs="Arial" w:eastAsia="Arial" w:hAnsi="Arial"/>
          <w:color w:val="1A1A1A"/>
          <w:sz w:val="22"/>
          <w:szCs w:val="22"/>
        </w:rPr>
        <w:t xml:space="preserve">Mopeds occupy a unique position in the motorized vehicle landscape — they are more than a bicycle but less than a full motorcycle, and they are frequently subject to different legal requirements, licensing rules, and insurance obligations than either motorcycles or scooters. Understanding where mopeds fit in the insurance landscape is essential for owners of these vehicles.</w:t>
      </w:r>
    </w:p>
    <w:p>
      <w:pPr>
        <w:spacing w:after="0" w:before="100"/>
      </w:pPr>
      <w:r>
        <w:rPr>
          <w:rFonts w:ascii="Arial" w:cs="Arial" w:eastAsia="Arial" w:hAnsi="Arial"/>
        </w:rPr>
        <w:t xml:space="preserve"/>
      </w:r>
    </w:p>
    <w:p>
      <w:pPr>
        <w:pBdr>
          <w:bottom w:val="single" w:color="F0C4A8" w:sz="4" w:space="4"/>
        </w:pBdr>
        <w:spacing w:after="80" w:before="220"/>
      </w:pPr>
      <w:r>
        <w:rPr>
          <w:rFonts w:ascii="Arial" w:cs="Arial" w:eastAsia="Arial" w:hAnsi="Arial"/>
          <w:b/>
          <w:bCs/>
          <w:color w:val="2C2C2C"/>
          <w:sz w:val="24"/>
          <w:szCs w:val="24"/>
        </w:rPr>
        <w:t xml:space="preserve">What Is a Moped?</w:t>
      </w:r>
    </w:p>
    <w:p>
      <w:pPr>
        <w:spacing w:after="110" w:before="80"/>
      </w:pPr>
      <w:r>
        <w:rPr>
          <w:rFonts w:ascii="Arial" w:cs="Arial" w:eastAsia="Arial" w:hAnsi="Arial"/>
          <w:color w:val="1A1A1A"/>
          <w:sz w:val="22"/>
          <w:szCs w:val="22"/>
        </w:rPr>
        <w:t xml:space="preserve">A moped is generally defined as a low-speed motorized bicycle with pedals that can be used to assist or start the engine. Most states define mopeds based on engine displacement (typically 50cc or less), maximum speed (often 30–35 mph), and the presence of functional pedals. The exact definition varies significantly by state, and what is classified as a moped in one state may be classified as a scooter or motorcycle in another.</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C0C8D0" w:sz="1"/>
              <w:left w:val="single" w:color="C0C8D0" w:sz="1"/>
              <w:bottom w:val="single" w:color="C0C8D0" w:sz="1"/>
              <w:right w:val="single" w:color="C0C8D0" w:sz="1"/>
            </w:tcBorders>
            <w:shd w:fill="F2F4F6" w:val="clear"/>
            <w:tcMar>
              <w:top w:type="dxa" w:w="110"/>
              <w:left w:type="dxa" w:w="160"/>
              <w:bottom w:type="dxa" w:w="110"/>
              <w:right w:type="dxa" w:w="160"/>
            </w:tcMar>
          </w:tcPr>
          <w:p>
            <w:pPr>
              <w:spacing w:after="60" w:before="0"/>
            </w:pPr>
            <w:r>
              <w:rPr>
                <w:rFonts w:ascii="Arial" w:cs="Arial" w:eastAsia="Arial" w:hAnsi="Arial"/>
                <w:b/>
                <w:bCs/>
                <w:color w:val="C04E00"/>
                <w:sz w:val="19"/>
                <w:szCs w:val="19"/>
              </w:rPr>
              <w:t xml:space="preserve">Moped Characteristics</w:t>
            </w:r>
          </w:p>
          <w:p>
            <w:pPr>
              <w:spacing w:after="0" w:before="0"/>
            </w:pPr>
            <w:r>
              <w:rPr>
                <w:rFonts w:ascii="Arial" w:cs="Arial" w:eastAsia="Arial" w:hAnsi="Arial"/>
                <w:color w:val="3C3C3C"/>
                <w:sz w:val="20"/>
                <w:szCs w:val="20"/>
              </w:rPr>
              <w:t xml:space="preserve">Engine typically 50cc or less; maximum speed usually 30–35 mph; may have pedals; step-through frame; automatic transmission; designed for low-speed urban use.</w:t>
            </w:r>
          </w:p>
        </w:tc>
        <w:tc>
          <w:tcPr>
            <w:tcW w:type="dxa" w:w="4620"/>
            <w:tcBorders>
              <w:top w:val="single" w:color="C0C8D0" w:sz="1"/>
              <w:left w:val="single" w:color="C0C8D0" w:sz="1"/>
              <w:bottom w:val="single" w:color="C0C8D0" w:sz="1"/>
              <w:right w:val="single" w:color="C0C8D0" w:sz="1"/>
            </w:tcBorders>
            <w:shd w:fill="F2F4F6" w:val="clear"/>
            <w:tcMar>
              <w:top w:type="dxa" w:w="110"/>
              <w:left w:type="dxa" w:w="160"/>
              <w:bottom w:type="dxa" w:w="110"/>
              <w:right w:type="dxa" w:w="160"/>
            </w:tcMar>
          </w:tcPr>
          <w:p>
            <w:pPr>
              <w:spacing w:after="60" w:before="0"/>
            </w:pPr>
            <w:r>
              <w:rPr>
                <w:rFonts w:ascii="Arial" w:cs="Arial" w:eastAsia="Arial" w:hAnsi="Arial"/>
                <w:b/>
                <w:bCs/>
                <w:color w:val="C04E00"/>
                <w:sz w:val="19"/>
                <w:szCs w:val="19"/>
              </w:rPr>
              <w:t xml:space="preserve">Motorcycle Characteristics</w:t>
            </w:r>
          </w:p>
          <w:p>
            <w:pPr>
              <w:spacing w:after="0" w:before="0"/>
            </w:pPr>
            <w:r>
              <w:rPr>
                <w:rFonts w:ascii="Arial" w:cs="Arial" w:eastAsia="Arial" w:hAnsi="Arial"/>
                <w:color w:val="3C3C3C"/>
                <w:sz w:val="20"/>
                <w:szCs w:val="20"/>
              </w:rPr>
              <w:t xml:space="preserve">Engine 125cc and above (often much larger); capable of highway speeds; no pedals; requires motorcycle endorsement; registered as a motor vehicle in all states.</w:t>
            </w:r>
          </w:p>
        </w:tc>
      </w:tr>
      <w:tr>
        <w:tc>
          <w:tcPr>
            <w:tcW w:type="dxa" w:w="4620"/>
            <w:tcBorders>
              <w:top w:val="single" w:color="C0C8D0" w:sz="1"/>
              <w:left w:val="single" w:color="C0C8D0" w:sz="1"/>
              <w:bottom w:val="single" w:color="C0C8D0" w:sz="1"/>
              <w:right w:val="single" w:color="C0C8D0" w:sz="1"/>
            </w:tcBorders>
            <w:shd w:fill="F2F4F6" w:val="clear"/>
            <w:tcMar>
              <w:top w:type="dxa" w:w="110"/>
              <w:left w:type="dxa" w:w="160"/>
              <w:bottom w:type="dxa" w:w="110"/>
              <w:right w:type="dxa" w:w="160"/>
            </w:tcMar>
          </w:tcPr>
          <w:p>
            <w:pPr>
              <w:spacing w:after="60" w:before="0"/>
            </w:pPr>
            <w:r>
              <w:rPr>
                <w:rFonts w:ascii="Arial" w:cs="Arial" w:eastAsia="Arial" w:hAnsi="Arial"/>
                <w:b/>
                <w:bCs/>
                <w:color w:val="C04E00"/>
                <w:sz w:val="19"/>
                <w:szCs w:val="19"/>
              </w:rPr>
              <w:t xml:space="preserve">Legal Classification</w:t>
            </w:r>
          </w:p>
          <w:p>
            <w:pPr>
              <w:spacing w:after="0" w:before="0"/>
            </w:pPr>
            <w:r>
              <w:rPr>
                <w:rFonts w:ascii="Arial" w:cs="Arial" w:eastAsia="Arial" w:hAnsi="Arial"/>
                <w:color w:val="3C3C3C"/>
                <w:sz w:val="20"/>
                <w:szCs w:val="20"/>
              </w:rPr>
              <w:t xml:space="preserve">Mopeds are classified separately from motorcycles in most states and are subject to different registration, licensing, and insurance requirements. Many states do not require a motorcycle endorsement to operate a moped.</w:t>
            </w:r>
          </w:p>
        </w:tc>
        <w:tc>
          <w:tcPr>
            <w:tcW w:type="dxa" w:w="4620"/>
            <w:tcBorders>
              <w:top w:val="single" w:color="C0C8D0" w:sz="1"/>
              <w:left w:val="single" w:color="C0C8D0" w:sz="1"/>
              <w:bottom w:val="single" w:color="C0C8D0" w:sz="1"/>
              <w:right w:val="single" w:color="C0C8D0" w:sz="1"/>
            </w:tcBorders>
            <w:shd w:fill="F2F4F6" w:val="clear"/>
            <w:tcMar>
              <w:top w:type="dxa" w:w="110"/>
              <w:left w:type="dxa" w:w="160"/>
              <w:bottom w:type="dxa" w:w="110"/>
              <w:right w:type="dxa" w:w="160"/>
            </w:tcMar>
          </w:tcPr>
          <w:p>
            <w:pPr>
              <w:spacing w:after="60" w:before="0"/>
            </w:pPr>
            <w:r>
              <w:rPr>
                <w:rFonts w:ascii="Arial" w:cs="Arial" w:eastAsia="Arial" w:hAnsi="Arial"/>
                <w:b/>
                <w:bCs/>
                <w:color w:val="C04E00"/>
                <w:sz w:val="19"/>
                <w:szCs w:val="19"/>
              </w:rPr>
              <w:t xml:space="preserve">Insurance Requirements</w:t>
            </w:r>
          </w:p>
          <w:p>
            <w:pPr>
              <w:spacing w:after="0" w:before="0"/>
            </w:pPr>
            <w:r>
              <w:rPr>
                <w:rFonts w:ascii="Arial" w:cs="Arial" w:eastAsia="Arial" w:hAnsi="Arial"/>
                <w:color w:val="3C3C3C"/>
                <w:sz w:val="20"/>
                <w:szCs w:val="20"/>
              </w:rPr>
              <w:t xml:space="preserve">Moped insurance requirements vary widely by state. Some states require liability insurance for mopeds; others do not. Some allow mopeds to be added to an existing homeowners or auto policy; others require a separate policy.</w:t>
            </w:r>
          </w:p>
        </w:tc>
      </w:tr>
    </w:tbl>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2253"/>
        <w:gridCol w:w="2253"/>
        <w:gridCol w:w="2254"/>
      </w:tblGrid>
      <w:tr>
        <w:tc>
          <w:tcPr>
            <w:tcW w:type="dxa" w:w="2600"/>
            <w:tcBorders>
              <w:top w:val="none" w:color="FFFFFF" w:sz="0"/>
              <w:left w:val="none" w:color="FFFFFF" w:sz="0"/>
              <w:bottom w:val="none" w:color="FFFFFF" w:sz="0"/>
              <w:right w:val="none" w:color="FFFFFF" w:sz="0"/>
            </w:tcBorders>
            <w:shd w:fill="3A455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Factor</w:t>
            </w:r>
          </w:p>
        </w:tc>
        <w:tc>
          <w:tcPr>
            <w:tcW w:type="dxa" w:w="2253"/>
            <w:tcBorders>
              <w:top w:val="none" w:color="FFFFFF" w:sz="0"/>
              <w:left w:val="none" w:color="FFFFFF" w:sz="0"/>
              <w:bottom w:val="none" w:color="FFFFFF" w:sz="0"/>
              <w:right w:val="none" w:color="FFFFFF" w:sz="0"/>
            </w:tcBorders>
            <w:shd w:fill="C04E0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Moped</w:t>
            </w:r>
          </w:p>
        </w:tc>
        <w:tc>
          <w:tcPr>
            <w:tcW w:type="dxa" w:w="2253"/>
            <w:tcBorders>
              <w:top w:val="none" w:color="FFFFFF" w:sz="0"/>
              <w:left w:val="none" w:color="FFFFFF" w:sz="0"/>
              <w:bottom w:val="none" w:color="FFFFFF" w:sz="0"/>
              <w:right w:val="none" w:color="FFFFFF" w:sz="0"/>
            </w:tcBorders>
            <w:shd w:fill="C04E0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Scooter</w:t>
            </w:r>
          </w:p>
        </w:tc>
        <w:tc>
          <w:tcPr>
            <w:tcW w:type="dxa" w:w="2254"/>
            <w:tcBorders>
              <w:top w:val="none" w:color="FFFFFF" w:sz="0"/>
              <w:left w:val="none" w:color="FFFFFF" w:sz="0"/>
              <w:bottom w:val="none" w:color="FFFFFF" w:sz="0"/>
              <w:right w:val="none" w:color="FFFFFF" w:sz="0"/>
            </w:tcBorders>
            <w:shd w:fill="C04E0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Motorcycle</w:t>
            </w:r>
          </w:p>
        </w:tc>
      </w:tr>
      <w:tr>
        <w:tc>
          <w:tcPr>
            <w:tcW w:type="dxa" w:w="2600"/>
            <w:tcBorders>
              <w:top w:val="single" w:color="C0C8D0" w:sz="1"/>
              <w:left w:val="single" w:color="C0C8D0" w:sz="1"/>
              <w:bottom w:val="single" w:color="C0C8D0" w:sz="1"/>
              <w:right w:val="single" w:color="C0C8D0" w:sz="1"/>
            </w:tcBorders>
            <w:shd w:fill="FFFFFF" w:val="clear"/>
            <w:tcMar>
              <w:top w:type="dxa" w:w="80"/>
              <w:left w:type="dxa" w:w="160"/>
              <w:bottom w:type="dxa" w:w="80"/>
              <w:right w:type="dxa" w:w="160"/>
            </w:tcMar>
          </w:tcPr>
          <w:p>
            <w:pPr>
              <w:spacing w:after="0" w:before="0"/>
            </w:pPr>
            <w:r>
              <w:rPr>
                <w:rFonts w:ascii="Arial" w:cs="Arial" w:eastAsia="Arial" w:hAnsi="Arial"/>
                <w:b/>
                <w:bCs/>
                <w:color w:val="1A1A1A"/>
                <w:sz w:val="20"/>
                <w:szCs w:val="20"/>
              </w:rPr>
              <w:t xml:space="preserve">Typical engine size</w:t>
            </w:r>
          </w:p>
        </w:tc>
        <w:tc>
          <w:tcPr>
            <w:tcW w:type="dxa" w:w="2253"/>
            <w:tcBorders>
              <w:top w:val="single" w:color="C0C8D0" w:sz="1"/>
              <w:left w:val="single" w:color="C0C8D0" w:sz="1"/>
              <w:bottom w:val="single" w:color="C0C8D0" w:sz="1"/>
              <w:right w:val="single" w:color="C0C8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50cc or less</w:t>
            </w:r>
          </w:p>
        </w:tc>
        <w:tc>
          <w:tcPr>
            <w:tcW w:type="dxa" w:w="2253"/>
            <w:tcBorders>
              <w:top w:val="single" w:color="C0C8D0" w:sz="1"/>
              <w:left w:val="single" w:color="C0C8D0" w:sz="1"/>
              <w:bottom w:val="single" w:color="C0C8D0" w:sz="1"/>
              <w:right w:val="single" w:color="C0C8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50cc–300cc+</w:t>
            </w:r>
          </w:p>
        </w:tc>
        <w:tc>
          <w:tcPr>
            <w:tcW w:type="dxa" w:w="2254"/>
            <w:tcBorders>
              <w:top w:val="single" w:color="C0C8D0" w:sz="1"/>
              <w:left w:val="single" w:color="C0C8D0" w:sz="1"/>
              <w:bottom w:val="single" w:color="C0C8D0" w:sz="1"/>
              <w:right w:val="single" w:color="C0C8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125cc–2,500cc+</w:t>
            </w:r>
          </w:p>
        </w:tc>
      </w:tr>
      <w:tr>
        <w:tc>
          <w:tcPr>
            <w:tcW w:type="dxa" w:w="2600"/>
            <w:tcBorders>
              <w:top w:val="single" w:color="C0C8D0" w:sz="1"/>
              <w:left w:val="single" w:color="C0C8D0" w:sz="1"/>
              <w:bottom w:val="single" w:color="C0C8D0" w:sz="1"/>
              <w:right w:val="single" w:color="C0C8D0" w:sz="1"/>
            </w:tcBorders>
            <w:shd w:fill="F2F4F6" w:val="clear"/>
            <w:tcMar>
              <w:top w:type="dxa" w:w="80"/>
              <w:left w:type="dxa" w:w="160"/>
              <w:bottom w:type="dxa" w:w="80"/>
              <w:right w:type="dxa" w:w="160"/>
            </w:tcMar>
          </w:tcPr>
          <w:p>
            <w:pPr>
              <w:spacing w:after="0" w:before="0"/>
            </w:pPr>
            <w:r>
              <w:rPr>
                <w:rFonts w:ascii="Arial" w:cs="Arial" w:eastAsia="Arial" w:hAnsi="Arial"/>
                <w:b/>
                <w:bCs/>
                <w:color w:val="1A1A1A"/>
                <w:sz w:val="20"/>
                <w:szCs w:val="20"/>
              </w:rPr>
              <w:t xml:space="preserve">Max speed</w:t>
            </w:r>
          </w:p>
        </w:tc>
        <w:tc>
          <w:tcPr>
            <w:tcW w:type="dxa" w:w="2253"/>
            <w:tcBorders>
              <w:top w:val="single" w:color="C0C8D0" w:sz="1"/>
              <w:left w:val="single" w:color="C0C8D0" w:sz="1"/>
              <w:bottom w:val="single" w:color="C0C8D0" w:sz="1"/>
              <w:right w:val="single" w:color="C0C8D0" w:sz="1"/>
            </w:tcBorders>
            <w:shd w:fill="F2F4F6"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30–35 mph</w:t>
            </w:r>
          </w:p>
        </w:tc>
        <w:tc>
          <w:tcPr>
            <w:tcW w:type="dxa" w:w="2253"/>
            <w:tcBorders>
              <w:top w:val="single" w:color="C0C8D0" w:sz="1"/>
              <w:left w:val="single" w:color="C0C8D0" w:sz="1"/>
              <w:bottom w:val="single" w:color="C0C8D0" w:sz="1"/>
              <w:right w:val="single" w:color="C0C8D0" w:sz="1"/>
            </w:tcBorders>
            <w:shd w:fill="F2F4F6"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45–75 mph</w:t>
            </w:r>
          </w:p>
        </w:tc>
        <w:tc>
          <w:tcPr>
            <w:tcW w:type="dxa" w:w="2254"/>
            <w:tcBorders>
              <w:top w:val="single" w:color="C0C8D0" w:sz="1"/>
              <w:left w:val="single" w:color="C0C8D0" w:sz="1"/>
              <w:bottom w:val="single" w:color="C0C8D0" w:sz="1"/>
              <w:right w:val="single" w:color="C0C8D0" w:sz="1"/>
            </w:tcBorders>
            <w:shd w:fill="F2F4F6"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100+ mph</w:t>
            </w:r>
          </w:p>
        </w:tc>
      </w:tr>
      <w:tr>
        <w:tc>
          <w:tcPr>
            <w:tcW w:type="dxa" w:w="2600"/>
            <w:tcBorders>
              <w:top w:val="single" w:color="C0C8D0" w:sz="1"/>
              <w:left w:val="single" w:color="C0C8D0" w:sz="1"/>
              <w:bottom w:val="single" w:color="C0C8D0" w:sz="1"/>
              <w:right w:val="single" w:color="C0C8D0" w:sz="1"/>
            </w:tcBorders>
            <w:shd w:fill="FFFFFF" w:val="clear"/>
            <w:tcMar>
              <w:top w:type="dxa" w:w="80"/>
              <w:left w:type="dxa" w:w="160"/>
              <w:bottom w:type="dxa" w:w="80"/>
              <w:right w:type="dxa" w:w="160"/>
            </w:tcMar>
          </w:tcPr>
          <w:p>
            <w:pPr>
              <w:spacing w:after="0" w:before="0"/>
            </w:pPr>
            <w:r>
              <w:rPr>
                <w:rFonts w:ascii="Arial" w:cs="Arial" w:eastAsia="Arial" w:hAnsi="Arial"/>
                <w:b/>
                <w:bCs/>
                <w:color w:val="1A1A1A"/>
                <w:sz w:val="20"/>
                <w:szCs w:val="20"/>
              </w:rPr>
              <w:t xml:space="preserve">License required</w:t>
            </w:r>
          </w:p>
        </w:tc>
        <w:tc>
          <w:tcPr>
            <w:tcW w:type="dxa" w:w="2253"/>
            <w:tcBorders>
              <w:top w:val="single" w:color="C0C8D0" w:sz="1"/>
              <w:left w:val="single" w:color="C0C8D0" w:sz="1"/>
              <w:bottom w:val="single" w:color="C0C8D0" w:sz="1"/>
              <w:right w:val="single" w:color="C0C8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Often none or basic license</w:t>
            </w:r>
          </w:p>
        </w:tc>
        <w:tc>
          <w:tcPr>
            <w:tcW w:type="dxa" w:w="2253"/>
            <w:tcBorders>
              <w:top w:val="single" w:color="C0C8D0" w:sz="1"/>
              <w:left w:val="single" w:color="C0C8D0" w:sz="1"/>
              <w:bottom w:val="single" w:color="C0C8D0" w:sz="1"/>
              <w:right w:val="single" w:color="C0C8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M endorsement may apply</w:t>
            </w:r>
          </w:p>
        </w:tc>
        <w:tc>
          <w:tcPr>
            <w:tcW w:type="dxa" w:w="2254"/>
            <w:tcBorders>
              <w:top w:val="single" w:color="C0C8D0" w:sz="1"/>
              <w:left w:val="single" w:color="C0C8D0" w:sz="1"/>
              <w:bottom w:val="single" w:color="C0C8D0" w:sz="1"/>
              <w:right w:val="single" w:color="C0C8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M endorsement required</w:t>
            </w:r>
          </w:p>
        </w:tc>
      </w:tr>
      <w:tr>
        <w:tc>
          <w:tcPr>
            <w:tcW w:type="dxa" w:w="2600"/>
            <w:tcBorders>
              <w:top w:val="single" w:color="C0C8D0" w:sz="1"/>
              <w:left w:val="single" w:color="C0C8D0" w:sz="1"/>
              <w:bottom w:val="single" w:color="C0C8D0" w:sz="1"/>
              <w:right w:val="single" w:color="C0C8D0" w:sz="1"/>
            </w:tcBorders>
            <w:shd w:fill="F2F4F6" w:val="clear"/>
            <w:tcMar>
              <w:top w:type="dxa" w:w="80"/>
              <w:left w:type="dxa" w:w="160"/>
              <w:bottom w:type="dxa" w:w="80"/>
              <w:right w:type="dxa" w:w="160"/>
            </w:tcMar>
          </w:tcPr>
          <w:p>
            <w:pPr>
              <w:spacing w:after="0" w:before="0"/>
            </w:pPr>
            <w:r>
              <w:rPr>
                <w:rFonts w:ascii="Arial" w:cs="Arial" w:eastAsia="Arial" w:hAnsi="Arial"/>
                <w:b/>
                <w:bCs/>
                <w:color w:val="1A1A1A"/>
                <w:sz w:val="20"/>
                <w:szCs w:val="20"/>
              </w:rPr>
              <w:t xml:space="preserve">Insurance required</w:t>
            </w:r>
          </w:p>
        </w:tc>
        <w:tc>
          <w:tcPr>
            <w:tcW w:type="dxa" w:w="2253"/>
            <w:tcBorders>
              <w:top w:val="single" w:color="C0C8D0" w:sz="1"/>
              <w:left w:val="single" w:color="C0C8D0" w:sz="1"/>
              <w:bottom w:val="single" w:color="C0C8D0" w:sz="1"/>
              <w:right w:val="single" w:color="C0C8D0" w:sz="1"/>
            </w:tcBorders>
            <w:shd w:fill="F2F4F6"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Varies by state</w:t>
            </w:r>
          </w:p>
        </w:tc>
        <w:tc>
          <w:tcPr>
            <w:tcW w:type="dxa" w:w="2253"/>
            <w:tcBorders>
              <w:top w:val="single" w:color="C0C8D0" w:sz="1"/>
              <w:left w:val="single" w:color="C0C8D0" w:sz="1"/>
              <w:bottom w:val="single" w:color="C0C8D0" w:sz="1"/>
              <w:right w:val="single" w:color="C0C8D0" w:sz="1"/>
            </w:tcBorders>
            <w:shd w:fill="F2F4F6"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Required if registered</w:t>
            </w:r>
          </w:p>
        </w:tc>
        <w:tc>
          <w:tcPr>
            <w:tcW w:type="dxa" w:w="2254"/>
            <w:tcBorders>
              <w:top w:val="single" w:color="C0C8D0" w:sz="1"/>
              <w:left w:val="single" w:color="C0C8D0" w:sz="1"/>
              <w:bottom w:val="single" w:color="C0C8D0" w:sz="1"/>
              <w:right w:val="single" w:color="C0C8D0" w:sz="1"/>
            </w:tcBorders>
            <w:shd w:fill="F2F4F6"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Required in most states</w:t>
            </w:r>
          </w:p>
        </w:tc>
      </w:tr>
      <w:tr>
        <w:tc>
          <w:tcPr>
            <w:tcW w:type="dxa" w:w="2600"/>
            <w:tcBorders>
              <w:top w:val="single" w:color="C0C8D0" w:sz="1"/>
              <w:left w:val="single" w:color="C0C8D0" w:sz="1"/>
              <w:bottom w:val="single" w:color="C0C8D0" w:sz="1"/>
              <w:right w:val="single" w:color="C0C8D0" w:sz="1"/>
            </w:tcBorders>
            <w:shd w:fill="FFFFFF" w:val="clear"/>
            <w:tcMar>
              <w:top w:type="dxa" w:w="80"/>
              <w:left w:type="dxa" w:w="160"/>
              <w:bottom w:type="dxa" w:w="80"/>
              <w:right w:type="dxa" w:w="160"/>
            </w:tcMar>
          </w:tcPr>
          <w:p>
            <w:pPr>
              <w:spacing w:after="0" w:before="0"/>
            </w:pPr>
            <w:r>
              <w:rPr>
                <w:rFonts w:ascii="Arial" w:cs="Arial" w:eastAsia="Arial" w:hAnsi="Arial"/>
                <w:b/>
                <w:bCs/>
                <w:color w:val="1A1A1A"/>
                <w:sz w:val="20"/>
                <w:szCs w:val="20"/>
              </w:rPr>
              <w:t xml:space="preserve">Registration required</w:t>
            </w:r>
          </w:p>
        </w:tc>
        <w:tc>
          <w:tcPr>
            <w:tcW w:type="dxa" w:w="2253"/>
            <w:tcBorders>
              <w:top w:val="single" w:color="C0C8D0" w:sz="1"/>
              <w:left w:val="single" w:color="C0C8D0" w:sz="1"/>
              <w:bottom w:val="single" w:color="C0C8D0" w:sz="1"/>
              <w:right w:val="single" w:color="C0C8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Varies by state</w:t>
            </w:r>
          </w:p>
        </w:tc>
        <w:tc>
          <w:tcPr>
            <w:tcW w:type="dxa" w:w="2253"/>
            <w:tcBorders>
              <w:top w:val="single" w:color="C0C8D0" w:sz="1"/>
              <w:left w:val="single" w:color="C0C8D0" w:sz="1"/>
              <w:bottom w:val="single" w:color="C0C8D0" w:sz="1"/>
              <w:right w:val="single" w:color="C0C8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Required in most states</w:t>
            </w:r>
          </w:p>
        </w:tc>
        <w:tc>
          <w:tcPr>
            <w:tcW w:type="dxa" w:w="2254"/>
            <w:tcBorders>
              <w:top w:val="single" w:color="C0C8D0" w:sz="1"/>
              <w:left w:val="single" w:color="C0C8D0" w:sz="1"/>
              <w:bottom w:val="single" w:color="C0C8D0" w:sz="1"/>
              <w:right w:val="single" w:color="C0C8D0" w:sz="1"/>
            </w:tcBorders>
            <w:shd w:fill="FFFFFF"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Required in all states</w:t>
            </w:r>
          </w:p>
        </w:tc>
      </w:tr>
      <w:tr>
        <w:tc>
          <w:tcPr>
            <w:tcW w:type="dxa" w:w="2600"/>
            <w:tcBorders>
              <w:top w:val="single" w:color="C0C8D0" w:sz="1"/>
              <w:left w:val="single" w:color="C0C8D0" w:sz="1"/>
              <w:bottom w:val="single" w:color="C0C8D0" w:sz="1"/>
              <w:right w:val="single" w:color="C0C8D0" w:sz="1"/>
            </w:tcBorders>
            <w:shd w:fill="F2F4F6" w:val="clear"/>
            <w:tcMar>
              <w:top w:type="dxa" w:w="80"/>
              <w:left w:type="dxa" w:w="160"/>
              <w:bottom w:type="dxa" w:w="80"/>
              <w:right w:type="dxa" w:w="160"/>
            </w:tcMar>
          </w:tcPr>
          <w:p>
            <w:pPr>
              <w:spacing w:after="0" w:before="0"/>
            </w:pPr>
            <w:r>
              <w:rPr>
                <w:rFonts w:ascii="Arial" w:cs="Arial" w:eastAsia="Arial" w:hAnsi="Arial"/>
                <w:b/>
                <w:bCs/>
                <w:color w:val="1A1A1A"/>
                <w:sz w:val="20"/>
                <w:szCs w:val="20"/>
              </w:rPr>
              <w:t xml:space="preserve">Highway use</w:t>
            </w:r>
          </w:p>
        </w:tc>
        <w:tc>
          <w:tcPr>
            <w:tcW w:type="dxa" w:w="2253"/>
            <w:tcBorders>
              <w:top w:val="single" w:color="C0C8D0" w:sz="1"/>
              <w:left w:val="single" w:color="C0C8D0" w:sz="1"/>
              <w:bottom w:val="single" w:color="C0C8D0" w:sz="1"/>
              <w:right w:val="single" w:color="C0C8D0" w:sz="1"/>
            </w:tcBorders>
            <w:shd w:fill="F2F4F6"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Generally prohibited</w:t>
            </w:r>
          </w:p>
        </w:tc>
        <w:tc>
          <w:tcPr>
            <w:tcW w:type="dxa" w:w="2253"/>
            <w:tcBorders>
              <w:top w:val="single" w:color="C0C8D0" w:sz="1"/>
              <w:left w:val="single" w:color="C0C8D0" w:sz="1"/>
              <w:bottom w:val="single" w:color="C0C8D0" w:sz="1"/>
              <w:right w:val="single" w:color="C0C8D0" w:sz="1"/>
            </w:tcBorders>
            <w:shd w:fill="F2F4F6"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Depends on displacement</w:t>
            </w:r>
          </w:p>
        </w:tc>
        <w:tc>
          <w:tcPr>
            <w:tcW w:type="dxa" w:w="2254"/>
            <w:tcBorders>
              <w:top w:val="single" w:color="C0C8D0" w:sz="1"/>
              <w:left w:val="single" w:color="C0C8D0" w:sz="1"/>
              <w:bottom w:val="single" w:color="C0C8D0" w:sz="1"/>
              <w:right w:val="single" w:color="C0C8D0" w:sz="1"/>
            </w:tcBorders>
            <w:shd w:fill="F2F4F6" w:val="clear"/>
            <w:tcMar>
              <w:top w:type="dxa" w:w="80"/>
              <w:left w:type="dxa" w:w="160"/>
              <w:bottom w:type="dxa" w:w="80"/>
              <w:right w:type="dxa" w:w="160"/>
            </w:tcMar>
          </w:tcPr>
          <w:p>
            <w:pPr>
              <w:spacing w:after="0" w:before="0"/>
            </w:pPr>
            <w:r>
              <w:rPr>
                <w:rFonts w:ascii="Arial" w:cs="Arial" w:eastAsia="Arial" w:hAnsi="Arial"/>
                <w:b w:val="false"/>
                <w:bCs w:val="false"/>
                <w:color w:val="3C3C3C"/>
                <w:sz w:val="20"/>
                <w:szCs w:val="20"/>
              </w:rPr>
              <w:t xml:space="preserve">Yes</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A6400" w:sz="18"/>
              <w:bottom w:val="none" w:color="FFFFFF" w:sz="0"/>
              <w:right w:val="none" w:color="FFFFFF" w:sz="0"/>
            </w:tcBorders>
            <w:shd w:fill="FFFBEE" w:val="clear"/>
            <w:tcMar>
              <w:top w:type="dxa" w:w="110"/>
              <w:left w:type="dxa" w:w="200"/>
              <w:bottom w:type="dxa" w:w="110"/>
              <w:right w:type="dxa" w:w="160"/>
            </w:tcMar>
          </w:tcPr>
          <w:p>
            <w:pPr>
              <w:spacing w:after="60" w:before="0"/>
            </w:pPr>
            <w:r>
              <w:rPr>
                <w:rFonts w:ascii="Arial" w:cs="Arial" w:eastAsia="Arial" w:hAnsi="Arial"/>
                <w:b/>
                <w:bCs/>
                <w:caps/>
                <w:color w:val="8A6400"/>
                <w:sz w:val="19"/>
                <w:szCs w:val="19"/>
              </w:rPr>
              <w:t xml:space="preserve">State-by-State Moped Definitions</w:t>
            </w:r>
          </w:p>
          <w:p>
            <w:pPr>
              <w:spacing w:after="0" w:before="0"/>
            </w:pPr>
            <w:r>
              <w:rPr>
                <w:rFonts w:ascii="Arial" w:cs="Arial" w:eastAsia="Arial" w:hAnsi="Arial"/>
                <w:color w:val="4A3800"/>
                <w:sz w:val="20"/>
                <w:szCs w:val="20"/>
              </w:rPr>
              <w:t xml:space="preserve">Because moped definitions and requirements vary so significantly by state, it is critical to check your specific state’s motor vehicle laws before purchasing or registering a moped. In some states, a 49cc scooter is legally a moped; in others, it is classified as a motorcycle. The legal classification determines your insurance obligations.</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B1A1A" w:sz="18"/>
              <w:bottom w:val="none" w:color="FFFFFF" w:sz="0"/>
              <w:right w:val="none" w:color="FFFFFF" w:sz="0"/>
            </w:tcBorders>
            <w:shd w:fill="FDF0F0" w:val="clear"/>
            <w:tcMar>
              <w:top w:type="dxa" w:w="110"/>
              <w:left w:type="dxa" w:w="200"/>
              <w:bottom w:type="dxa" w:w="110"/>
              <w:right w:type="dxa" w:w="160"/>
            </w:tcMar>
          </w:tcPr>
          <w:p>
            <w:pPr>
              <w:spacing w:after="60" w:before="0"/>
            </w:pPr>
            <w:r>
              <w:rPr>
                <w:rFonts w:ascii="Arial" w:cs="Arial" w:eastAsia="Arial" w:hAnsi="Arial"/>
                <w:b/>
                <w:bCs/>
                <w:caps/>
                <w:color w:val="8B1A1A"/>
                <w:sz w:val="19"/>
                <w:szCs w:val="19"/>
              </w:rPr>
              <w:t xml:space="preserve">The Uninsured Moped Risk</w:t>
            </w:r>
          </w:p>
          <w:p>
            <w:pPr>
              <w:spacing w:after="0" w:before="0"/>
            </w:pPr>
            <w:r>
              <w:rPr>
                <w:rFonts w:ascii="Arial" w:cs="Arial" w:eastAsia="Arial" w:hAnsi="Arial"/>
                <w:color w:val="5A1010"/>
                <w:sz w:val="20"/>
                <w:szCs w:val="20"/>
              </w:rPr>
              <w:t xml:space="preserve">Many moped owners assume their vehicle does not need insurance because it is small or slow. However, even a moped can cause serious injuries at low speeds, and a rider without liability coverage can be held personally responsible for all damages caused. Even where insurance is not required, liability coverage for a moped is inexpensive and highly recommended.</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2C2C2C" w:val="clear"/>
            <w:tcMar>
              <w:top w:type="dxa" w:w="160"/>
              <w:left w:type="dxa" w:w="240"/>
              <w:bottom w:type="dxa" w:w="160"/>
              <w:right w:type="dxa" w:w="240"/>
            </w:tcMar>
          </w:tcPr>
          <w:p>
            <w:pPr>
              <w:spacing w:after="0" w:before="0"/>
            </w:pPr>
            <w:r>
              <w:rPr>
                <w:rFonts w:ascii="Arial" w:cs="Arial" w:eastAsia="Arial" w:hAnsi="Arial"/>
                <w:b/>
                <w:bCs/>
                <w:color w:val="D4621A"/>
                <w:sz w:val="28"/>
                <w:szCs w:val="28"/>
              </w:rPr>
              <w:t xml:space="preserve">7.  </w:t>
            </w:r>
            <w:r>
              <w:rPr>
                <w:rFonts w:ascii="Arial" w:cs="Arial" w:eastAsia="Arial" w:hAnsi="Arial"/>
                <w:b/>
                <w:bCs/>
                <w:color w:val="FFFFFF"/>
                <w:sz w:val="28"/>
                <w:szCs w:val="28"/>
              </w:rPr>
              <w:t xml:space="preserve">Year-Round vs. Seasonal Motorcycle Insurance</w:t>
            </w:r>
          </w:p>
        </w:tc>
      </w:tr>
    </w:tbl>
    <w:p>
      <w:pPr>
        <w:spacing w:after="0" w:before="100"/>
      </w:pPr>
      <w:r>
        <w:rPr>
          <w:rFonts w:ascii="Arial" w:cs="Arial" w:eastAsia="Arial" w:hAnsi="Arial"/>
        </w:rPr>
        <w:t xml:space="preserve"/>
      </w:r>
    </w:p>
    <w:p>
      <w:pPr>
        <w:spacing w:after="110" w:before="80"/>
      </w:pPr>
      <w:r>
        <w:rPr>
          <w:rFonts w:ascii="Arial" w:cs="Arial" w:eastAsia="Arial" w:hAnsi="Arial"/>
          <w:color w:val="1A1A1A"/>
          <w:sz w:val="22"/>
          <w:szCs w:val="22"/>
        </w:rPr>
        <w:t xml:space="preserve">Unlike automobile insurance, which is typically maintained year-round regardless of how often the vehicle is driven, motorcycle insurance offers riders in seasonal climates meaningful flexibility to align their coverage with their actual riding season. Understanding the options available allows riders to optimize their coverage and potentially reduce their insurance costs during months when the motorcycle is stored.</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C0C8D0" w:sz="1"/>
              <w:left w:val="single" w:color="C0C8D0" w:sz="1"/>
              <w:bottom w:val="single" w:color="C0C8D0" w:sz="1"/>
              <w:right w:val="single" w:color="C0C8D0" w:sz="1"/>
            </w:tcBorders>
            <w:shd w:fill="F2F4F6" w:val="clear"/>
            <w:tcMar>
              <w:top w:type="dxa" w:w="110"/>
              <w:left w:type="dxa" w:w="160"/>
              <w:bottom w:type="dxa" w:w="110"/>
              <w:right w:type="dxa" w:w="160"/>
            </w:tcMar>
          </w:tcPr>
          <w:p>
            <w:pPr>
              <w:spacing w:after="60" w:before="0"/>
            </w:pPr>
            <w:r>
              <w:rPr>
                <w:rFonts w:ascii="Arial" w:cs="Arial" w:eastAsia="Arial" w:hAnsi="Arial"/>
                <w:b/>
                <w:bCs/>
                <w:color w:val="C04E00"/>
                <w:sz w:val="19"/>
                <w:szCs w:val="19"/>
              </w:rPr>
              <w:t xml:space="preserve">Year-Round Coverage</w:t>
            </w:r>
          </w:p>
          <w:p>
            <w:pPr>
              <w:spacing w:after="0" w:before="0"/>
            </w:pPr>
            <w:r>
              <w:rPr>
                <w:rFonts w:ascii="Arial" w:cs="Arial" w:eastAsia="Arial" w:hAnsi="Arial"/>
                <w:color w:val="3C3C3C"/>
                <w:sz w:val="20"/>
                <w:szCs w:val="20"/>
              </w:rPr>
              <w:t xml:space="preserve">A standard motorcycle insurance policy that provides full coverage — liability, collision, comprehensive, and all endorsements — continuously throughout the year, regardless of whether the motorcycle is being ridden.</w:t>
            </w:r>
          </w:p>
        </w:tc>
        <w:tc>
          <w:tcPr>
            <w:tcW w:type="dxa" w:w="4620"/>
            <w:tcBorders>
              <w:top w:val="single" w:color="C0C8D0" w:sz="1"/>
              <w:left w:val="single" w:color="C0C8D0" w:sz="1"/>
              <w:bottom w:val="single" w:color="C0C8D0" w:sz="1"/>
              <w:right w:val="single" w:color="C0C8D0" w:sz="1"/>
            </w:tcBorders>
            <w:shd w:fill="F2F4F6" w:val="clear"/>
            <w:tcMar>
              <w:top w:type="dxa" w:w="110"/>
              <w:left w:type="dxa" w:w="160"/>
              <w:bottom w:type="dxa" w:w="110"/>
              <w:right w:type="dxa" w:w="160"/>
            </w:tcMar>
          </w:tcPr>
          <w:p>
            <w:pPr>
              <w:spacing w:after="60" w:before="0"/>
            </w:pPr>
            <w:r>
              <w:rPr>
                <w:rFonts w:ascii="Arial" w:cs="Arial" w:eastAsia="Arial" w:hAnsi="Arial"/>
                <w:b/>
                <w:bCs/>
                <w:color w:val="C04E00"/>
                <w:sz w:val="19"/>
                <w:szCs w:val="19"/>
              </w:rPr>
              <w:t xml:space="preserve">Seasonal Coverage</w:t>
            </w:r>
          </w:p>
          <w:p>
            <w:pPr>
              <w:spacing w:after="0" w:before="0"/>
            </w:pPr>
            <w:r>
              <w:rPr>
                <w:rFonts w:ascii="Arial" w:cs="Arial" w:eastAsia="Arial" w:hAnsi="Arial"/>
                <w:color w:val="3C3C3C"/>
                <w:sz w:val="20"/>
                <w:szCs w:val="20"/>
              </w:rPr>
              <w:t xml:space="preserve">A policy or policy modification designed for riders who only ride during certain months of the year. Seasonal options allow riders to reduce or suspend certain coverages during off-season storage periods while maintaining the coverages that still matter when the bike is parked.</w:t>
            </w:r>
          </w:p>
        </w:tc>
      </w:tr>
      <w:tr>
        <w:tc>
          <w:tcPr>
            <w:tcW w:type="dxa" w:w="4620"/>
            <w:tcBorders>
              <w:top w:val="single" w:color="C0C8D0" w:sz="1"/>
              <w:left w:val="single" w:color="C0C8D0" w:sz="1"/>
              <w:bottom w:val="single" w:color="C0C8D0" w:sz="1"/>
              <w:right w:val="single" w:color="C0C8D0" w:sz="1"/>
            </w:tcBorders>
            <w:shd w:fill="F2F4F6" w:val="clear"/>
            <w:tcMar>
              <w:top w:type="dxa" w:w="110"/>
              <w:left w:type="dxa" w:w="160"/>
              <w:bottom w:type="dxa" w:w="110"/>
              <w:right w:type="dxa" w:w="160"/>
            </w:tcMar>
          </w:tcPr>
          <w:p>
            <w:pPr>
              <w:spacing w:after="60" w:before="0"/>
            </w:pPr>
            <w:r>
              <w:rPr>
                <w:rFonts w:ascii="Arial" w:cs="Arial" w:eastAsia="Arial" w:hAnsi="Arial"/>
                <w:b/>
                <w:bCs/>
                <w:color w:val="C04E00"/>
                <w:sz w:val="19"/>
                <w:szCs w:val="19"/>
              </w:rPr>
              <w:t xml:space="preserve">Who Benefits from Seasonal</w:t>
            </w:r>
          </w:p>
          <w:p>
            <w:pPr>
              <w:spacing w:after="0" w:before="0"/>
            </w:pPr>
            <w:r>
              <w:rPr>
                <w:rFonts w:ascii="Arial" w:cs="Arial" w:eastAsia="Arial" w:hAnsi="Arial"/>
                <w:color w:val="3C3C3C"/>
                <w:sz w:val="20"/>
                <w:szCs w:val="20"/>
              </w:rPr>
              <w:t xml:space="preserve">Riders in northern states and climates where winter weather makes riding impractical or impossible for several months. Riders who own motorcycles as recreational vehicles rather than primary transportation are the most common beneficiaries of seasonal coverage options.</w:t>
            </w:r>
          </w:p>
        </w:tc>
        <w:tc>
          <w:tcPr>
            <w:tcW w:type="dxa" w:w="4620"/>
            <w:tcBorders>
              <w:top w:val="single" w:color="C0C8D0" w:sz="1"/>
              <w:left w:val="single" w:color="C0C8D0" w:sz="1"/>
              <w:bottom w:val="single" w:color="C0C8D0" w:sz="1"/>
              <w:right w:val="single" w:color="C0C8D0" w:sz="1"/>
            </w:tcBorders>
            <w:shd w:fill="F2F4F6" w:val="clear"/>
            <w:tcMar>
              <w:top w:type="dxa" w:w="110"/>
              <w:left w:type="dxa" w:w="160"/>
              <w:bottom w:type="dxa" w:w="110"/>
              <w:right w:type="dxa" w:w="160"/>
            </w:tcMar>
          </w:tcPr>
          <w:p>
            <w:pPr>
              <w:spacing w:after="60" w:before="0"/>
            </w:pPr>
            <w:r>
              <w:rPr>
                <w:rFonts w:ascii="Arial" w:cs="Arial" w:eastAsia="Arial" w:hAnsi="Arial"/>
                <w:b/>
                <w:bCs/>
                <w:color w:val="C04E00"/>
                <w:sz w:val="19"/>
                <w:szCs w:val="19"/>
              </w:rPr>
              <w:t xml:space="preserve">Who Should Choose Year-Round</w:t>
            </w:r>
          </w:p>
          <w:p>
            <w:pPr>
              <w:spacing w:after="0" w:before="0"/>
            </w:pPr>
            <w:r>
              <w:rPr>
                <w:rFonts w:ascii="Arial" w:cs="Arial" w:eastAsia="Arial" w:hAnsi="Arial"/>
                <w:color w:val="3C3C3C"/>
                <w:sz w:val="20"/>
                <w:szCs w:val="20"/>
              </w:rPr>
              <w:t xml:space="preserve">Riders in warm climates (Florida, California, Texas, Arizona) who ride year-round, riders who use motorcycles as primary transportation, and riders who want the simplest coverage approach without managing seasonal changes.</w:t>
            </w:r>
          </w:p>
        </w:tc>
      </w:tr>
    </w:tbl>
    <w:p>
      <w:pPr>
        <w:spacing w:after="0" w:before="100"/>
      </w:pPr>
      <w:r>
        <w:rPr>
          <w:rFonts w:ascii="Arial" w:cs="Arial" w:eastAsia="Arial" w:hAnsi="Arial"/>
        </w:rPr>
        <w:t xml:space="preserve"/>
      </w:r>
    </w:p>
    <w:p>
      <w:pPr>
        <w:pBdr>
          <w:bottom w:val="single" w:color="F0C4A8" w:sz="4" w:space="4"/>
        </w:pBdr>
        <w:spacing w:after="80" w:before="220"/>
      </w:pPr>
      <w:r>
        <w:rPr>
          <w:rFonts w:ascii="Arial" w:cs="Arial" w:eastAsia="Arial" w:hAnsi="Arial"/>
          <w:b/>
          <w:bCs/>
          <w:color w:val="2C2C2C"/>
          <w:sz w:val="24"/>
          <w:szCs w:val="24"/>
        </w:rPr>
        <w:t xml:space="preserve">Seasonal Riding Considerations by Region</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D4621A"/>
          <w:sz w:val="22"/>
          <w:szCs w:val="22"/>
        </w:rPr>
        <w:t xml:space="preserve">Northern states (Midwest, Northeast, Pacific Northwest) — </w:t>
      </w:r>
      <w:r>
        <w:rPr>
          <w:rFonts w:ascii="Arial" w:cs="Arial" w:eastAsia="Arial" w:hAnsi="Arial"/>
          <w:color w:val="3C3C3C"/>
          <w:sz w:val="22"/>
          <w:szCs w:val="22"/>
        </w:rPr>
        <w:t xml:space="preserve">riders in these regions typically have a riding season of 5–7 months; seasonal coverage can provide meaningful cost savings during the 4–6 month off-season</w:t>
      </w:r>
    </w:p>
    <w:p>
      <w:pPr>
        <w:pStyle w:val="ListParagraph"/>
        <w:numPr>
          <w:ilvl w:val="0"/>
          <w:numId w:val="2"/>
        </w:numPr>
        <w:spacing w:after="60" w:before="60"/>
      </w:pPr>
      <w:r>
        <w:rPr>
          <w:rFonts w:ascii="Arial" w:cs="Arial" w:eastAsia="Arial" w:hAnsi="Arial"/>
          <w:b/>
          <w:bCs/>
          <w:color w:val="D4621A"/>
          <w:sz w:val="22"/>
          <w:szCs w:val="22"/>
        </w:rPr>
        <w:t xml:space="preserve">Mountain states (Colorado, Montana, Utah) — </w:t>
      </w:r>
      <w:r>
        <w:rPr>
          <w:rFonts w:ascii="Arial" w:cs="Arial" w:eastAsia="Arial" w:hAnsi="Arial"/>
          <w:color w:val="3C3C3C"/>
          <w:sz w:val="22"/>
          <w:szCs w:val="22"/>
        </w:rPr>
        <w:t xml:space="preserve">riding seasons vary significantly by altitude; high-altitude riders may have shorter seasons than valley-based riders in the same state</w:t>
      </w:r>
    </w:p>
    <w:p>
      <w:pPr>
        <w:pStyle w:val="ListParagraph"/>
        <w:numPr>
          <w:ilvl w:val="0"/>
          <w:numId w:val="2"/>
        </w:numPr>
        <w:spacing w:after="60" w:before="60"/>
      </w:pPr>
      <w:r>
        <w:rPr>
          <w:rFonts w:ascii="Arial" w:cs="Arial" w:eastAsia="Arial" w:hAnsi="Arial"/>
          <w:b/>
          <w:bCs/>
          <w:color w:val="D4621A"/>
          <w:sz w:val="22"/>
          <w:szCs w:val="22"/>
        </w:rPr>
        <w:t xml:space="preserve">Southern states (Florida, Texas, Arizona, California) — </w:t>
      </w:r>
      <w:r>
        <w:rPr>
          <w:rFonts w:ascii="Arial" w:cs="Arial" w:eastAsia="Arial" w:hAnsi="Arial"/>
          <w:color w:val="3C3C3C"/>
          <w:sz w:val="22"/>
          <w:szCs w:val="22"/>
        </w:rPr>
        <w:t xml:space="preserve">year-round riding is practical; year-round coverage is typically the standard approach with no meaningful seasonal savings available</w:t>
      </w:r>
    </w:p>
    <w:p>
      <w:pPr>
        <w:pStyle w:val="ListParagraph"/>
        <w:numPr>
          <w:ilvl w:val="0"/>
          <w:numId w:val="2"/>
        </w:numPr>
        <w:spacing w:after="60" w:before="60"/>
      </w:pPr>
      <w:r>
        <w:rPr>
          <w:rFonts w:ascii="Arial" w:cs="Arial" w:eastAsia="Arial" w:hAnsi="Arial"/>
          <w:b/>
          <w:bCs/>
          <w:color w:val="D4621A"/>
          <w:sz w:val="22"/>
          <w:szCs w:val="22"/>
        </w:rPr>
        <w:t xml:space="preserve">Mid-Atlantic and Mid-South states — </w:t>
      </w:r>
      <w:r>
        <w:rPr>
          <w:rFonts w:ascii="Arial" w:cs="Arial" w:eastAsia="Arial" w:hAnsi="Arial"/>
          <w:color w:val="3C3C3C"/>
          <w:sz w:val="22"/>
          <w:szCs w:val="22"/>
        </w:rPr>
        <w:t xml:space="preserve">variable seasons with mild winters allow for extended riding seasons; some riders maintain year-round coverage with brief winter breaks</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1A5C2A" w:sz="18"/>
              <w:bottom w:val="none" w:color="FFFFFF" w:sz="0"/>
              <w:right w:val="none" w:color="FFFFFF" w:sz="0"/>
            </w:tcBorders>
            <w:shd w:fill="EDF7F0" w:val="clear"/>
            <w:tcMar>
              <w:top w:type="dxa" w:w="110"/>
              <w:left w:type="dxa" w:w="200"/>
              <w:bottom w:type="dxa" w:w="110"/>
              <w:right w:type="dxa" w:w="160"/>
            </w:tcMar>
          </w:tcPr>
          <w:p>
            <w:pPr>
              <w:spacing w:after="60" w:before="0"/>
            </w:pPr>
            <w:r>
              <w:rPr>
                <w:rFonts w:ascii="Arial" w:cs="Arial" w:eastAsia="Arial" w:hAnsi="Arial"/>
                <w:b/>
                <w:bCs/>
                <w:caps/>
                <w:color w:val="1A5C2A"/>
                <w:sz w:val="19"/>
                <w:szCs w:val="19"/>
              </w:rPr>
              <w:t xml:space="preserve">Seasonal Coverage Savings Example</w:t>
            </w:r>
          </w:p>
          <w:p>
            <w:pPr>
              <w:spacing w:after="0" w:before="0"/>
            </w:pPr>
            <w:r>
              <w:rPr>
                <w:rFonts w:ascii="Arial" w:cs="Arial" w:eastAsia="Arial" w:hAnsi="Arial"/>
                <w:color w:val="1A3A22"/>
                <w:sz w:val="20"/>
                <w:szCs w:val="20"/>
              </w:rPr>
              <w:t xml:space="preserve">A rider in Minnesota has a motorcycle insurance policy costing $900 per year. By switching to a seasonal policy covering April through October (7 months) and suspending liability coverage during winter storage, the rider reduces their annual premium to approximately $550–$650 while maintaining comprehensive coverage for theft, fire, and weather damage on the stored bike.</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D4621A" w:sz="18"/>
              <w:bottom w:val="none" w:color="FFFFFF" w:sz="0"/>
              <w:right w:val="none" w:color="FFFFFF" w:sz="0"/>
            </w:tcBorders>
            <w:shd w:fill="FDF4EE" w:val="clear"/>
            <w:tcMar>
              <w:top w:type="dxa" w:w="110"/>
              <w:left w:type="dxa" w:w="200"/>
              <w:bottom w:type="dxa" w:w="110"/>
              <w:right w:type="dxa" w:w="160"/>
            </w:tcMar>
          </w:tcPr>
          <w:p>
            <w:pPr>
              <w:spacing w:after="0" w:before="0"/>
            </w:pPr>
            <w:r>
              <w:rPr>
                <w:rFonts w:ascii="Arial" w:cs="Arial" w:eastAsia="Arial" w:hAnsi="Arial"/>
                <w:b/>
                <w:bCs/>
                <w:color w:val="C04E00"/>
                <w:sz w:val="20"/>
                <w:szCs w:val="20"/>
              </w:rPr>
              <w:t xml:space="preserve">Key Takeaway: </w:t>
            </w:r>
            <w:r>
              <w:rPr>
                <w:rFonts w:ascii="Arial" w:cs="Arial" w:eastAsia="Arial" w:hAnsi="Arial"/>
                <w:color w:val="3C3C3C"/>
                <w:sz w:val="20"/>
                <w:szCs w:val="20"/>
              </w:rPr>
              <w:t xml:space="preserve">Even during months when liability coverage is suspended under a seasonal policy, it is critical to maintain comprehensive coverage on the motorcycle. Theft, fire, flooding, and storm damage do not take the winter off — and an uninsured total loss during storage can be just as financially devastating as an on-road accident.</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2C2C2C" w:val="clear"/>
            <w:tcMar>
              <w:top w:type="dxa" w:w="160"/>
              <w:left w:type="dxa" w:w="240"/>
              <w:bottom w:type="dxa" w:w="160"/>
              <w:right w:type="dxa" w:w="240"/>
            </w:tcMar>
          </w:tcPr>
          <w:p>
            <w:pPr>
              <w:spacing w:after="0" w:before="0"/>
            </w:pPr>
            <w:r>
              <w:rPr>
                <w:rFonts w:ascii="Arial" w:cs="Arial" w:eastAsia="Arial" w:hAnsi="Arial"/>
                <w:b/>
                <w:bCs/>
                <w:color w:val="D4621A"/>
                <w:sz w:val="28"/>
                <w:szCs w:val="28"/>
              </w:rPr>
              <w:t xml:space="preserve">8.  </w:t>
            </w:r>
            <w:r>
              <w:rPr>
                <w:rFonts w:ascii="Arial" w:cs="Arial" w:eastAsia="Arial" w:hAnsi="Arial"/>
                <w:b/>
                <w:bCs/>
                <w:color w:val="FFFFFF"/>
                <w:sz w:val="28"/>
                <w:szCs w:val="28"/>
              </w:rPr>
              <w:t xml:space="preserve">Lay-Up / Storage Period Coverage Options</w:t>
            </w:r>
          </w:p>
        </w:tc>
      </w:tr>
    </w:tbl>
    <w:p>
      <w:pPr>
        <w:spacing w:after="0" w:before="100"/>
      </w:pPr>
      <w:r>
        <w:rPr>
          <w:rFonts w:ascii="Arial" w:cs="Arial" w:eastAsia="Arial" w:hAnsi="Arial"/>
        </w:rPr>
        <w:t xml:space="preserve"/>
      </w:r>
    </w:p>
    <w:p>
      <w:pPr>
        <w:spacing w:after="110" w:before="80"/>
      </w:pPr>
      <w:r>
        <w:rPr>
          <w:rFonts w:ascii="Arial" w:cs="Arial" w:eastAsia="Arial" w:hAnsi="Arial"/>
          <w:color w:val="1A1A1A"/>
          <w:sz w:val="22"/>
          <w:szCs w:val="22"/>
        </w:rPr>
        <w:t xml:space="preserve">A lay-up period — also called a storage period or winter lay-up — is a defined period during which a motorcycle is taken off the road, stored, and not operated on public roads. Motorcycle insurance policies offer specific options for managing coverage during lay-up periods that can reduce costs while maintaining essential protection for the stored bike.</w:t>
      </w:r>
    </w:p>
    <w:p>
      <w:pPr>
        <w:spacing w:after="0" w:before="100"/>
      </w:pPr>
      <w:r>
        <w:rPr>
          <w:rFonts w:ascii="Arial" w:cs="Arial" w:eastAsia="Arial" w:hAnsi="Arial"/>
        </w:rPr>
        <w:t xml:space="preserve"/>
      </w:r>
    </w:p>
    <w:p>
      <w:pPr>
        <w:pBdr>
          <w:bottom w:val="single" w:color="F0C4A8" w:sz="4" w:space="4"/>
        </w:pBdr>
        <w:spacing w:after="80" w:before="220"/>
      </w:pPr>
      <w:r>
        <w:rPr>
          <w:rFonts w:ascii="Arial" w:cs="Arial" w:eastAsia="Arial" w:hAnsi="Arial"/>
          <w:b/>
          <w:bCs/>
          <w:color w:val="2C2C2C"/>
          <w:sz w:val="24"/>
          <w:szCs w:val="24"/>
        </w:rPr>
        <w:t xml:space="preserve">What a Lay-Up Endorsement Does</w:t>
      </w:r>
    </w:p>
    <w:p>
      <w:pPr>
        <w:spacing w:after="110" w:before="80"/>
      </w:pPr>
      <w:r>
        <w:rPr>
          <w:rFonts w:ascii="Arial" w:cs="Arial" w:eastAsia="Arial" w:hAnsi="Arial"/>
          <w:color w:val="1A1A1A"/>
          <w:sz w:val="22"/>
          <w:szCs w:val="22"/>
        </w:rPr>
        <w:t xml:space="preserve">A lay-up endorsement formally modifies the motorcycle insurance policy to suspend liability, collision, and uninsured motorist coverages during a specified storage period while keeping comprehensive (other than collision) coverage active. During a declared lay-up period, the motorcycle cannot be ridden on public roads — doing so would void coverage.</w:t>
      </w:r>
    </w:p>
    <w:p>
      <w:pPr>
        <w:spacing w:after="0" w:before="10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C0C8D0" w:sz="1"/>
              <w:left w:val="single" w:color="C0C8D0" w:sz="1"/>
              <w:bottom w:val="single" w:color="C0C8D0" w:sz="1"/>
              <w:right w:val="single" w:color="C0C8D0" w:sz="1"/>
            </w:tcBorders>
            <w:shd w:fill="F2F4F6" w:val="clear"/>
            <w:tcMar>
              <w:top w:type="dxa" w:w="110"/>
              <w:left w:type="dxa" w:w="160"/>
              <w:bottom w:type="dxa" w:w="110"/>
              <w:right w:type="dxa" w:w="160"/>
            </w:tcMar>
          </w:tcPr>
          <w:p>
            <w:pPr>
              <w:spacing w:after="60" w:before="0"/>
            </w:pPr>
            <w:r>
              <w:rPr>
                <w:rFonts w:ascii="Arial" w:cs="Arial" w:eastAsia="Arial" w:hAnsi="Arial"/>
                <w:b/>
                <w:bCs/>
                <w:color w:val="C04E00"/>
                <w:sz w:val="19"/>
                <w:szCs w:val="19"/>
              </w:rPr>
              <w:t xml:space="preserve">Coverages Suspended During Lay-Up</w:t>
            </w:r>
          </w:p>
          <w:p>
            <w:pPr>
              <w:spacing w:after="0" w:before="0"/>
            </w:pPr>
            <w:r>
              <w:rPr>
                <w:rFonts w:ascii="Arial" w:cs="Arial" w:eastAsia="Arial" w:hAnsi="Arial"/>
                <w:color w:val="3C3C3C"/>
                <w:sz w:val="20"/>
                <w:szCs w:val="20"/>
              </w:rPr>
              <w:t xml:space="preserve">Bodily injury liability, property damage liability, collision, uninsured/underinsured motorist coverage, and medical payments. These coverages are unnecessary when the motorcycle is not being operated.</w:t>
            </w:r>
          </w:p>
        </w:tc>
        <w:tc>
          <w:tcPr>
            <w:tcW w:type="dxa" w:w="4620"/>
            <w:tcBorders>
              <w:top w:val="single" w:color="C0C8D0" w:sz="1"/>
              <w:left w:val="single" w:color="C0C8D0" w:sz="1"/>
              <w:bottom w:val="single" w:color="C0C8D0" w:sz="1"/>
              <w:right w:val="single" w:color="C0C8D0" w:sz="1"/>
            </w:tcBorders>
            <w:shd w:fill="F2F4F6" w:val="clear"/>
            <w:tcMar>
              <w:top w:type="dxa" w:w="110"/>
              <w:left w:type="dxa" w:w="160"/>
              <w:bottom w:type="dxa" w:w="110"/>
              <w:right w:type="dxa" w:w="160"/>
            </w:tcMar>
          </w:tcPr>
          <w:p>
            <w:pPr>
              <w:spacing w:after="60" w:before="0"/>
            </w:pPr>
            <w:r>
              <w:rPr>
                <w:rFonts w:ascii="Arial" w:cs="Arial" w:eastAsia="Arial" w:hAnsi="Arial"/>
                <w:b/>
                <w:bCs/>
                <w:color w:val="C04E00"/>
                <w:sz w:val="19"/>
                <w:szCs w:val="19"/>
              </w:rPr>
              <w:t xml:space="preserve">Coverages Maintained During Lay-Up</w:t>
            </w:r>
          </w:p>
          <w:p>
            <w:pPr>
              <w:spacing w:after="0" w:before="0"/>
            </w:pPr>
            <w:r>
              <w:rPr>
                <w:rFonts w:ascii="Arial" w:cs="Arial" w:eastAsia="Arial" w:hAnsi="Arial"/>
                <w:color w:val="3C3C3C"/>
                <w:sz w:val="20"/>
                <w:szCs w:val="20"/>
              </w:rPr>
              <w:t xml:space="preserve">Comprehensive coverage (fire, theft, vandalism, weather damage, falling objects, animals) remains active during the lay-up period. This is the most important coverage to maintain on a stored motorcycle.</w:t>
            </w:r>
          </w:p>
        </w:tc>
      </w:tr>
      <w:tr>
        <w:tc>
          <w:tcPr>
            <w:tcW w:type="dxa" w:w="4620"/>
            <w:tcBorders>
              <w:top w:val="single" w:color="C0C8D0" w:sz="1"/>
              <w:left w:val="single" w:color="C0C8D0" w:sz="1"/>
              <w:bottom w:val="single" w:color="C0C8D0" w:sz="1"/>
              <w:right w:val="single" w:color="C0C8D0" w:sz="1"/>
            </w:tcBorders>
            <w:shd w:fill="F2F4F6" w:val="clear"/>
            <w:tcMar>
              <w:top w:type="dxa" w:w="110"/>
              <w:left w:type="dxa" w:w="160"/>
              <w:bottom w:type="dxa" w:w="110"/>
              <w:right w:type="dxa" w:w="160"/>
            </w:tcMar>
          </w:tcPr>
          <w:p>
            <w:pPr>
              <w:spacing w:after="60" w:before="0"/>
            </w:pPr>
            <w:r>
              <w:rPr>
                <w:rFonts w:ascii="Arial" w:cs="Arial" w:eastAsia="Arial" w:hAnsi="Arial"/>
                <w:b/>
                <w:bCs/>
                <w:color w:val="C04E00"/>
                <w:sz w:val="19"/>
                <w:szCs w:val="19"/>
              </w:rPr>
              <w:t xml:space="preserve">Premium Savings</w:t>
            </w:r>
          </w:p>
          <w:p>
            <w:pPr>
              <w:spacing w:after="0" w:before="0"/>
            </w:pPr>
            <w:r>
              <w:rPr>
                <w:rFonts w:ascii="Arial" w:cs="Arial" w:eastAsia="Arial" w:hAnsi="Arial"/>
                <w:color w:val="3C3C3C"/>
                <w:sz w:val="20"/>
                <w:szCs w:val="20"/>
              </w:rPr>
              <w:t xml:space="preserve">A lay-up endorsement typically reduces the monthly insurance cost by 50–75% during the storage period because the most expensive coverages (liability and collision) are suspended. Exact savings vary by carrier and coverage structure.</w:t>
            </w:r>
          </w:p>
        </w:tc>
        <w:tc>
          <w:tcPr>
            <w:tcW w:type="dxa" w:w="4620"/>
            <w:tcBorders>
              <w:top w:val="single" w:color="C0C8D0" w:sz="1"/>
              <w:left w:val="single" w:color="C0C8D0" w:sz="1"/>
              <w:bottom w:val="single" w:color="C0C8D0" w:sz="1"/>
              <w:right w:val="single" w:color="C0C8D0" w:sz="1"/>
            </w:tcBorders>
            <w:shd w:fill="F2F4F6" w:val="clear"/>
            <w:tcMar>
              <w:top w:type="dxa" w:w="110"/>
              <w:left w:type="dxa" w:w="160"/>
              <w:bottom w:type="dxa" w:w="110"/>
              <w:right w:type="dxa" w:w="160"/>
            </w:tcMar>
          </w:tcPr>
          <w:p>
            <w:pPr>
              <w:spacing w:after="60" w:before="0"/>
            </w:pPr>
            <w:r>
              <w:rPr>
                <w:rFonts w:ascii="Arial" w:cs="Arial" w:eastAsia="Arial" w:hAnsi="Arial"/>
                <w:b/>
                <w:bCs/>
                <w:color w:val="C04E00"/>
                <w:sz w:val="19"/>
                <w:szCs w:val="19"/>
              </w:rPr>
              <w:t xml:space="preserve">Typical Lay-Up Period</w:t>
            </w:r>
          </w:p>
          <w:p>
            <w:pPr>
              <w:spacing w:after="0" w:before="0"/>
            </w:pPr>
            <w:r>
              <w:rPr>
                <w:rFonts w:ascii="Arial" w:cs="Arial" w:eastAsia="Arial" w:hAnsi="Arial"/>
                <w:color w:val="3C3C3C"/>
                <w:sz w:val="20"/>
                <w:szCs w:val="20"/>
              </w:rPr>
              <w:t xml:space="preserve">Most carriers allow lay-up periods of 2–5 consecutive months. Some require a minimum storage period to qualify for lay-up rates. Riders must notify their insurer when the lay-up begins and when it ends to restore full coverage.</w:t>
            </w:r>
          </w:p>
        </w:tc>
      </w:tr>
    </w:tbl>
    <w:p>
      <w:pPr>
        <w:spacing w:after="0" w:before="100"/>
      </w:pPr>
      <w:r>
        <w:rPr>
          <w:rFonts w:ascii="Arial" w:cs="Arial" w:eastAsia="Arial" w:hAnsi="Arial"/>
        </w:rPr>
        <w:t xml:space="preserve"/>
      </w:r>
    </w:p>
    <w:p>
      <w:pPr>
        <w:pBdr>
          <w:bottom w:val="single" w:color="F0C4A8" w:sz="4" w:space="4"/>
        </w:pBdr>
        <w:spacing w:after="80" w:before="220"/>
      </w:pPr>
      <w:r>
        <w:rPr>
          <w:rFonts w:ascii="Arial" w:cs="Arial" w:eastAsia="Arial" w:hAnsi="Arial"/>
          <w:b/>
          <w:bCs/>
          <w:color w:val="2C2C2C"/>
          <w:sz w:val="24"/>
          <w:szCs w:val="24"/>
        </w:rPr>
        <w:t xml:space="preserve">Proper Storage During Lay-Up</w:t>
      </w:r>
    </w:p>
    <w:p>
      <w:pPr>
        <w:spacing w:after="110" w:before="80"/>
      </w:pPr>
      <w:r>
        <w:rPr>
          <w:rFonts w:ascii="Arial" w:cs="Arial" w:eastAsia="Arial" w:hAnsi="Arial"/>
          <w:color w:val="1A1A1A"/>
          <w:sz w:val="22"/>
          <w:szCs w:val="22"/>
        </w:rPr>
        <w:t xml:space="preserve">To qualify for lay-up rates and to protect the motorcycle during storage, most insurers require or recommend proper storage conditions. A properly stored motorcycle is also less likely to suffer damage during the lay-up period, reducing the likelihood of a comprehensive claim.</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D4621A"/>
          <w:sz w:val="22"/>
          <w:szCs w:val="22"/>
        </w:rPr>
        <w:t xml:space="preserve">Enclosed storage — </w:t>
      </w:r>
      <w:r>
        <w:rPr>
          <w:rFonts w:ascii="Arial" w:cs="Arial" w:eastAsia="Arial" w:hAnsi="Arial"/>
          <w:color w:val="3C3C3C"/>
          <w:sz w:val="22"/>
          <w:szCs w:val="22"/>
        </w:rPr>
        <w:t xml:space="preserve">the motorcycle should be stored in a locked garage, storage unit, or similar enclosed structure — not simply covered in a driveway</w:t>
      </w:r>
    </w:p>
    <w:p>
      <w:pPr>
        <w:pStyle w:val="ListParagraph"/>
        <w:numPr>
          <w:ilvl w:val="0"/>
          <w:numId w:val="2"/>
        </w:numPr>
        <w:spacing w:after="60" w:before="60"/>
      </w:pPr>
      <w:r>
        <w:rPr>
          <w:rFonts w:ascii="Arial" w:cs="Arial" w:eastAsia="Arial" w:hAnsi="Arial"/>
          <w:b/>
          <w:bCs/>
          <w:color w:val="D4621A"/>
          <w:sz w:val="22"/>
          <w:szCs w:val="22"/>
        </w:rPr>
        <w:t xml:space="preserve">Battery maintenance — </w:t>
      </w:r>
      <w:r>
        <w:rPr>
          <w:rFonts w:ascii="Arial" w:cs="Arial" w:eastAsia="Arial" w:hAnsi="Arial"/>
          <w:color w:val="3C3C3C"/>
          <w:sz w:val="22"/>
          <w:szCs w:val="22"/>
        </w:rPr>
        <w:t xml:space="preserve">disconnecting or using a battery tender during winter storage prevents battery damage and electrical system issues</w:t>
      </w:r>
    </w:p>
    <w:p>
      <w:pPr>
        <w:pStyle w:val="ListParagraph"/>
        <w:numPr>
          <w:ilvl w:val="0"/>
          <w:numId w:val="2"/>
        </w:numPr>
        <w:spacing w:after="60" w:before="60"/>
      </w:pPr>
      <w:r>
        <w:rPr>
          <w:rFonts w:ascii="Arial" w:cs="Arial" w:eastAsia="Arial" w:hAnsi="Arial"/>
          <w:b/>
          <w:bCs/>
          <w:color w:val="D4621A"/>
          <w:sz w:val="22"/>
          <w:szCs w:val="22"/>
        </w:rPr>
        <w:t xml:space="preserve">Fuel stabilization — </w:t>
      </w:r>
      <w:r>
        <w:rPr>
          <w:rFonts w:ascii="Arial" w:cs="Arial" w:eastAsia="Arial" w:hAnsi="Arial"/>
          <w:color w:val="3C3C3C"/>
          <w:sz w:val="22"/>
          <w:szCs w:val="22"/>
        </w:rPr>
        <w:t xml:space="preserve">adding fuel stabilizer to the tank prevents fuel degradation that can damage the fuel system during extended storage</w:t>
      </w:r>
    </w:p>
    <w:p>
      <w:pPr>
        <w:pStyle w:val="ListParagraph"/>
        <w:numPr>
          <w:ilvl w:val="0"/>
          <w:numId w:val="2"/>
        </w:numPr>
        <w:spacing w:after="60" w:before="60"/>
      </w:pPr>
      <w:r>
        <w:rPr>
          <w:rFonts w:ascii="Arial" w:cs="Arial" w:eastAsia="Arial" w:hAnsi="Arial"/>
          <w:b/>
          <w:bCs/>
          <w:color w:val="D4621A"/>
          <w:sz w:val="22"/>
          <w:szCs w:val="22"/>
        </w:rPr>
        <w:t xml:space="preserve">Tire and fluid care — </w:t>
      </w:r>
      <w:r>
        <w:rPr>
          <w:rFonts w:ascii="Arial" w:cs="Arial" w:eastAsia="Arial" w:hAnsi="Arial"/>
          <w:color w:val="3C3C3C"/>
          <w:sz w:val="22"/>
          <w:szCs w:val="22"/>
        </w:rPr>
        <w:t xml:space="preserve">inflating tires to recommended pressure and addressing any fluid leaks before storage prevents damage from flat spots and fluid contamination</w:t>
      </w:r>
    </w:p>
    <w:p>
      <w:pPr>
        <w:pStyle w:val="ListParagraph"/>
        <w:numPr>
          <w:ilvl w:val="0"/>
          <w:numId w:val="2"/>
        </w:numPr>
        <w:spacing w:after="60" w:before="60"/>
      </w:pPr>
      <w:r>
        <w:rPr>
          <w:rFonts w:ascii="Arial" w:cs="Arial" w:eastAsia="Arial" w:hAnsi="Arial"/>
          <w:b/>
          <w:bCs/>
          <w:color w:val="D4621A"/>
          <w:sz w:val="22"/>
          <w:szCs w:val="22"/>
        </w:rPr>
        <w:t xml:space="preserve">Security measures — </w:t>
      </w:r>
      <w:r>
        <w:rPr>
          <w:rFonts w:ascii="Arial" w:cs="Arial" w:eastAsia="Arial" w:hAnsi="Arial"/>
          <w:color w:val="3C3C3C"/>
          <w:sz w:val="22"/>
          <w:szCs w:val="22"/>
        </w:rPr>
        <w:t xml:space="preserve">using a disc lock, chain, or other physical security device during storage reduces theft risk and may qualify the rider for additional premium discounts</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B1A1A" w:sz="18"/>
              <w:bottom w:val="none" w:color="FFFFFF" w:sz="0"/>
              <w:right w:val="none" w:color="FFFFFF" w:sz="0"/>
            </w:tcBorders>
            <w:shd w:fill="FDF0F0" w:val="clear"/>
            <w:tcMar>
              <w:top w:type="dxa" w:w="110"/>
              <w:left w:type="dxa" w:w="200"/>
              <w:bottom w:type="dxa" w:w="110"/>
              <w:right w:type="dxa" w:w="160"/>
            </w:tcMar>
          </w:tcPr>
          <w:p>
            <w:pPr>
              <w:spacing w:after="60" w:before="0"/>
            </w:pPr>
            <w:r>
              <w:rPr>
                <w:rFonts w:ascii="Arial" w:cs="Arial" w:eastAsia="Arial" w:hAnsi="Arial"/>
                <w:b/>
                <w:bCs/>
                <w:caps/>
                <w:color w:val="8B1A1A"/>
                <w:sz w:val="19"/>
                <w:szCs w:val="19"/>
              </w:rPr>
              <w:t xml:space="preserve">Do Not Ride During a Declared Lay-Up Period</w:t>
            </w:r>
          </w:p>
          <w:p>
            <w:pPr>
              <w:spacing w:after="0" w:before="0"/>
            </w:pPr>
            <w:r>
              <w:rPr>
                <w:rFonts w:ascii="Arial" w:cs="Arial" w:eastAsia="Arial" w:hAnsi="Arial"/>
                <w:color w:val="5A1010"/>
                <w:sz w:val="20"/>
                <w:szCs w:val="20"/>
              </w:rPr>
              <w:t xml:space="preserve">Operating a motorcycle on public roads during a declared lay-up period voids coverage. If you are involved in an accident while riding during lay-up, your insurer can deny the claim entirely on the grounds that coverage was suspended. Always notify your insurer when you are ending the lay-up period and confirm that full coverage is reinstated before riding.</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A6400" w:sz="18"/>
              <w:bottom w:val="none" w:color="FFFFFF" w:sz="0"/>
              <w:right w:val="none" w:color="FFFFFF" w:sz="0"/>
            </w:tcBorders>
            <w:shd w:fill="FFFBEE" w:val="clear"/>
            <w:tcMar>
              <w:top w:type="dxa" w:w="110"/>
              <w:left w:type="dxa" w:w="200"/>
              <w:bottom w:type="dxa" w:w="110"/>
              <w:right w:type="dxa" w:w="160"/>
            </w:tcMar>
          </w:tcPr>
          <w:p>
            <w:pPr>
              <w:spacing w:after="60" w:before="0"/>
            </w:pPr>
            <w:r>
              <w:rPr>
                <w:rFonts w:ascii="Arial" w:cs="Arial" w:eastAsia="Arial" w:hAnsi="Arial"/>
                <w:b/>
                <w:bCs/>
                <w:caps/>
                <w:color w:val="8A6400"/>
                <w:sz w:val="19"/>
                <w:szCs w:val="19"/>
              </w:rPr>
              <w:t xml:space="preserve">Alternative: Comprehensive-Only Policy</w:t>
            </w:r>
          </w:p>
          <w:p>
            <w:pPr>
              <w:spacing w:after="0" w:before="0"/>
            </w:pPr>
            <w:r>
              <w:rPr>
                <w:rFonts w:ascii="Arial" w:cs="Arial" w:eastAsia="Arial" w:hAnsi="Arial"/>
                <w:color w:val="4A3800"/>
                <w:sz w:val="20"/>
                <w:szCs w:val="20"/>
              </w:rPr>
              <w:t xml:space="preserve">Some carriers offer a comprehensive-only motorcycle policy specifically for long-term storage situations or off-road bikes that are never operated on public roads. This provides theft and damage protection at a minimal premium without any liability coverage. Confirm with your agent whether this option is available and appropriate for your situation.</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D4621A" w:sz="18"/>
              <w:bottom w:val="none" w:color="FFFFFF" w:sz="0"/>
              <w:right w:val="none" w:color="FFFFFF" w:sz="0"/>
            </w:tcBorders>
            <w:shd w:fill="FDF4EE" w:val="clear"/>
            <w:tcMar>
              <w:top w:type="dxa" w:w="110"/>
              <w:left w:type="dxa" w:w="200"/>
              <w:bottom w:type="dxa" w:w="110"/>
              <w:right w:type="dxa" w:w="160"/>
            </w:tcMar>
          </w:tcPr>
          <w:p>
            <w:pPr>
              <w:spacing w:after="0" w:before="0"/>
            </w:pPr>
            <w:r>
              <w:rPr>
                <w:rFonts w:ascii="Arial" w:cs="Arial" w:eastAsia="Arial" w:hAnsi="Arial"/>
                <w:b/>
                <w:bCs/>
                <w:color w:val="C04E00"/>
                <w:sz w:val="20"/>
                <w:szCs w:val="20"/>
              </w:rPr>
              <w:t xml:space="preserve">Key Takeaway: </w:t>
            </w:r>
            <w:r>
              <w:rPr>
                <w:rFonts w:ascii="Arial" w:cs="Arial" w:eastAsia="Arial" w:hAnsi="Arial"/>
                <w:color w:val="3C3C3C"/>
                <w:sz w:val="20"/>
                <w:szCs w:val="20"/>
              </w:rPr>
              <w:t xml:space="preserve">A lay-up endorsement is one of the most cost-effective tools available to motorcycle riders in cold-weather climates. The key rule is simple: keep comprehensive coverage active year-round, and suspend the other coverages only for the months you are genuinely not riding.</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2C2C2C" w:val="clear"/>
            <w:tcMar>
              <w:top w:type="dxa" w:w="160"/>
              <w:left w:type="dxa" w:w="240"/>
              <w:bottom w:type="dxa" w:w="160"/>
              <w:right w:type="dxa" w:w="240"/>
            </w:tcMar>
          </w:tcPr>
          <w:p>
            <w:pPr>
              <w:spacing w:after="0" w:before="0"/>
            </w:pPr>
            <w:r>
              <w:rPr>
                <w:rFonts w:ascii="Arial" w:cs="Arial" w:eastAsia="Arial" w:hAnsi="Arial"/>
                <w:b/>
                <w:bCs/>
                <w:color w:val="D4621A"/>
                <w:sz w:val="28"/>
                <w:szCs w:val="28"/>
              </w:rPr>
              <w:t xml:space="preserve">9.  </w:t>
            </w:r>
            <w:r>
              <w:rPr>
                <w:rFonts w:ascii="Arial" w:cs="Arial" w:eastAsia="Arial" w:hAnsi="Arial"/>
                <w:b/>
                <w:bCs/>
                <w:color w:val="FFFFFF"/>
                <w:sz w:val="28"/>
                <w:szCs w:val="28"/>
              </w:rPr>
              <w:t xml:space="preserve">Motorcycle Insurance for New Riders</w:t>
            </w:r>
          </w:p>
        </w:tc>
      </w:tr>
    </w:tbl>
    <w:p>
      <w:pPr>
        <w:spacing w:after="0" w:before="100"/>
      </w:pPr>
      <w:r>
        <w:rPr>
          <w:rFonts w:ascii="Arial" w:cs="Arial" w:eastAsia="Arial" w:hAnsi="Arial"/>
        </w:rPr>
        <w:t xml:space="preserve"/>
      </w:r>
    </w:p>
    <w:p>
      <w:pPr>
        <w:spacing w:after="110" w:before="80"/>
      </w:pPr>
      <w:r>
        <w:rPr>
          <w:rFonts w:ascii="Arial" w:cs="Arial" w:eastAsia="Arial" w:hAnsi="Arial"/>
          <w:color w:val="1A1A1A"/>
          <w:sz w:val="22"/>
          <w:szCs w:val="22"/>
        </w:rPr>
        <w:t xml:space="preserve">New motorcycle riders face a unique set of insurance challenges. Insurers view inexperienced riders as a significantly higher risk than experienced riders, which is reflected in higher premiums for new licensees. At the same time, new riders often have the most to learn about selecting the right coverage and building a strong insurance profile over time.</w:t>
      </w:r>
    </w:p>
    <w:p>
      <w:pPr>
        <w:spacing w:after="0" w:before="100"/>
      </w:pPr>
      <w:r>
        <w:rPr>
          <w:rFonts w:ascii="Arial" w:cs="Arial" w:eastAsia="Arial" w:hAnsi="Arial"/>
        </w:rPr>
        <w:t xml:space="preserve"/>
      </w:r>
    </w:p>
    <w:p>
      <w:pPr>
        <w:pBdr>
          <w:bottom w:val="single" w:color="F0C4A8" w:sz="4" w:space="4"/>
        </w:pBdr>
        <w:spacing w:after="80" w:before="220"/>
      </w:pPr>
      <w:r>
        <w:rPr>
          <w:rFonts w:ascii="Arial" w:cs="Arial" w:eastAsia="Arial" w:hAnsi="Arial"/>
          <w:b/>
          <w:bCs/>
          <w:color w:val="2C2C2C"/>
          <w:sz w:val="24"/>
          <w:szCs w:val="24"/>
        </w:rPr>
        <w:t xml:space="preserve">Why New Riders Pay More</w:t>
      </w:r>
    </w:p>
    <w:p>
      <w:pPr>
        <w:spacing w:after="110" w:before="80"/>
      </w:pPr>
      <w:r>
        <w:rPr>
          <w:rFonts w:ascii="Arial" w:cs="Arial" w:eastAsia="Arial" w:hAnsi="Arial"/>
          <w:color w:val="1A1A1A"/>
          <w:sz w:val="22"/>
          <w:szCs w:val="22"/>
        </w:rPr>
        <w:t xml:space="preserve">Statistical data consistently shows that newer riders are involved in accidents at higher rates than experienced riders. Lack of experience with braking distances, cornering techniques, hazard recognition, and emergency maneuvers contributes to a higher frequency of incidents in the first one to three years of riding. Insurance carriers price this elevated risk into premiums for new licensees.</w:t>
      </w:r>
    </w:p>
    <w:p>
      <w:pPr>
        <w:spacing w:after="0" w:before="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620"/>
        <w:gridCol w:w="4620"/>
      </w:tblGrid>
      <w:tr>
        <w:tc>
          <w:tcPr>
            <w:tcW w:type="dxa" w:w="4620"/>
            <w:tcBorders>
              <w:top w:val="single" w:color="C0C8D0" w:sz="1"/>
              <w:left w:val="single" w:color="C0C8D0" w:sz="1"/>
              <w:bottom w:val="single" w:color="C0C8D0" w:sz="1"/>
              <w:right w:val="single" w:color="C0C8D0" w:sz="1"/>
            </w:tcBorders>
            <w:shd w:fill="F2F4F6" w:val="clear"/>
            <w:tcMar>
              <w:top w:type="dxa" w:w="110"/>
              <w:left w:type="dxa" w:w="160"/>
              <w:bottom w:type="dxa" w:w="110"/>
              <w:right w:type="dxa" w:w="160"/>
            </w:tcMar>
          </w:tcPr>
          <w:p>
            <w:pPr>
              <w:spacing w:after="60" w:before="0"/>
            </w:pPr>
            <w:r>
              <w:rPr>
                <w:rFonts w:ascii="Arial" w:cs="Arial" w:eastAsia="Arial" w:hAnsi="Arial"/>
                <w:b/>
                <w:bCs/>
                <w:color w:val="C04E00"/>
                <w:sz w:val="19"/>
                <w:szCs w:val="19"/>
              </w:rPr>
              <w:t xml:space="preserve">Experience Surcharge</w:t>
            </w:r>
          </w:p>
          <w:p>
            <w:pPr>
              <w:spacing w:after="0" w:before="0"/>
            </w:pPr>
            <w:r>
              <w:rPr>
                <w:rFonts w:ascii="Arial" w:cs="Arial" w:eastAsia="Arial" w:hAnsi="Arial"/>
                <w:color w:val="3C3C3C"/>
                <w:sz w:val="20"/>
                <w:szCs w:val="20"/>
              </w:rPr>
              <w:t xml:space="preserve">Riders with less than 2–3 years of licensed riding experience typically pay a surcharge ranging from 10–40% above the base rate for an otherwise equivalent risk. This surcharge decreases or disappears as the rider builds a claims-free riding history.</w:t>
            </w:r>
          </w:p>
        </w:tc>
        <w:tc>
          <w:tcPr>
            <w:tcW w:type="dxa" w:w="4620"/>
            <w:tcBorders>
              <w:top w:val="single" w:color="C0C8D0" w:sz="1"/>
              <w:left w:val="single" w:color="C0C8D0" w:sz="1"/>
              <w:bottom w:val="single" w:color="C0C8D0" w:sz="1"/>
              <w:right w:val="single" w:color="C0C8D0" w:sz="1"/>
            </w:tcBorders>
            <w:shd w:fill="F2F4F6" w:val="clear"/>
            <w:tcMar>
              <w:top w:type="dxa" w:w="110"/>
              <w:left w:type="dxa" w:w="160"/>
              <w:bottom w:type="dxa" w:w="110"/>
              <w:right w:type="dxa" w:w="160"/>
            </w:tcMar>
          </w:tcPr>
          <w:p>
            <w:pPr>
              <w:spacing w:after="60" w:before="0"/>
            </w:pPr>
            <w:r>
              <w:rPr>
                <w:rFonts w:ascii="Arial" w:cs="Arial" w:eastAsia="Arial" w:hAnsi="Arial"/>
                <w:b/>
                <w:bCs/>
                <w:color w:val="C04E00"/>
                <w:sz w:val="19"/>
                <w:szCs w:val="19"/>
              </w:rPr>
              <w:t xml:space="preserve">Motorcycle Choice Matters</w:t>
            </w:r>
          </w:p>
          <w:p>
            <w:pPr>
              <w:spacing w:after="0" w:before="0"/>
            </w:pPr>
            <w:r>
              <w:rPr>
                <w:rFonts w:ascii="Arial" w:cs="Arial" w:eastAsia="Arial" w:hAnsi="Arial"/>
                <w:color w:val="3C3C3C"/>
                <w:sz w:val="20"/>
                <w:szCs w:val="20"/>
              </w:rPr>
              <w:t xml:space="preserve">New riders who choose high-displacement or high-performance bikes (600cc+ sport bikes, 1,000cc+ superbikes) pay significantly higher premiums than those who start on smaller, less powerful machines. A 250cc–400cc beginner-appropriate bike can save hundreds of dollars per year in insurance costs.</w:t>
            </w:r>
          </w:p>
        </w:tc>
      </w:tr>
      <w:tr>
        <w:tc>
          <w:tcPr>
            <w:tcW w:type="dxa" w:w="4620"/>
            <w:tcBorders>
              <w:top w:val="single" w:color="C0C8D0" w:sz="1"/>
              <w:left w:val="single" w:color="C0C8D0" w:sz="1"/>
              <w:bottom w:val="single" w:color="C0C8D0" w:sz="1"/>
              <w:right w:val="single" w:color="C0C8D0" w:sz="1"/>
            </w:tcBorders>
            <w:shd w:fill="F2F4F6" w:val="clear"/>
            <w:tcMar>
              <w:top w:type="dxa" w:w="110"/>
              <w:left w:type="dxa" w:w="160"/>
              <w:bottom w:type="dxa" w:w="110"/>
              <w:right w:type="dxa" w:w="160"/>
            </w:tcMar>
          </w:tcPr>
          <w:p>
            <w:pPr>
              <w:spacing w:after="60" w:before="0"/>
            </w:pPr>
            <w:r>
              <w:rPr>
                <w:rFonts w:ascii="Arial" w:cs="Arial" w:eastAsia="Arial" w:hAnsi="Arial"/>
                <w:b/>
                <w:bCs/>
                <w:color w:val="C04E00"/>
                <w:sz w:val="19"/>
                <w:szCs w:val="19"/>
              </w:rPr>
              <w:t xml:space="preserve">MSF Course Discount</w:t>
            </w:r>
          </w:p>
          <w:p>
            <w:pPr>
              <w:spacing w:after="0" w:before="0"/>
            </w:pPr>
            <w:r>
              <w:rPr>
                <w:rFonts w:ascii="Arial" w:cs="Arial" w:eastAsia="Arial" w:hAnsi="Arial"/>
                <w:color w:val="3C3C3C"/>
                <w:sz w:val="20"/>
                <w:szCs w:val="20"/>
              </w:rPr>
              <w:t xml:space="preserve">Completing the Motorcycle Safety Foundation (MSF) Basic RiderCourse or an equivalent state-approved safety course typically earns a premium discount of 5–15% with most carriers. The discount is available immediately upon course completion.</w:t>
            </w:r>
          </w:p>
        </w:tc>
        <w:tc>
          <w:tcPr>
            <w:tcW w:type="dxa" w:w="4620"/>
            <w:tcBorders>
              <w:top w:val="single" w:color="C0C8D0" w:sz="1"/>
              <w:left w:val="single" w:color="C0C8D0" w:sz="1"/>
              <w:bottom w:val="single" w:color="C0C8D0" w:sz="1"/>
              <w:right w:val="single" w:color="C0C8D0" w:sz="1"/>
            </w:tcBorders>
            <w:shd w:fill="F2F4F6" w:val="clear"/>
            <w:tcMar>
              <w:top w:type="dxa" w:w="110"/>
              <w:left w:type="dxa" w:w="160"/>
              <w:bottom w:type="dxa" w:w="110"/>
              <w:right w:type="dxa" w:w="160"/>
            </w:tcMar>
          </w:tcPr>
          <w:p>
            <w:pPr>
              <w:spacing w:after="60" w:before="0"/>
            </w:pPr>
            <w:r>
              <w:rPr>
                <w:rFonts w:ascii="Arial" w:cs="Arial" w:eastAsia="Arial" w:hAnsi="Arial"/>
                <w:b/>
                <w:bCs/>
                <w:color w:val="C04E00"/>
                <w:sz w:val="19"/>
                <w:szCs w:val="19"/>
              </w:rPr>
              <w:t xml:space="preserve">Good Driver Record</w:t>
            </w:r>
          </w:p>
          <w:p>
            <w:pPr>
              <w:spacing w:after="0" w:before="0"/>
            </w:pPr>
            <w:r>
              <w:rPr>
                <w:rFonts w:ascii="Arial" w:cs="Arial" w:eastAsia="Arial" w:hAnsi="Arial"/>
                <w:color w:val="3C3C3C"/>
                <w:sz w:val="20"/>
                <w:szCs w:val="20"/>
              </w:rPr>
              <w:t xml:space="preserve">Your auto driving record affects your motorcycle insurance premium. A clean driving record translates to lower base rates even as a new motorcycle rider. Traffic violations and accidents on your auto record will increase your motorcycle premiums.</w:t>
            </w:r>
          </w:p>
        </w:tc>
      </w:tr>
    </w:tbl>
    <w:p>
      <w:pPr>
        <w:spacing w:after="0" w:before="100"/>
      </w:pPr>
      <w:r>
        <w:rPr>
          <w:rFonts w:ascii="Arial" w:cs="Arial" w:eastAsia="Arial" w:hAnsi="Arial"/>
        </w:rPr>
        <w:t xml:space="preserve"/>
      </w:r>
    </w:p>
    <w:p>
      <w:pPr>
        <w:pBdr>
          <w:bottom w:val="single" w:color="F0C4A8" w:sz="4" w:space="4"/>
        </w:pBdr>
        <w:spacing w:after="80" w:before="220"/>
      </w:pPr>
      <w:r>
        <w:rPr>
          <w:rFonts w:ascii="Arial" w:cs="Arial" w:eastAsia="Arial" w:hAnsi="Arial"/>
          <w:b/>
          <w:bCs/>
          <w:color w:val="2C2C2C"/>
          <w:sz w:val="24"/>
          <w:szCs w:val="24"/>
        </w:rPr>
        <w:t xml:space="preserve">Coverage Recommendations for New Riders</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D4621A"/>
          <w:sz w:val="22"/>
          <w:szCs w:val="22"/>
        </w:rPr>
        <w:t xml:space="preserve">Do not skimp on liability — </w:t>
      </w:r>
      <w:r>
        <w:rPr>
          <w:rFonts w:ascii="Arial" w:cs="Arial" w:eastAsia="Arial" w:hAnsi="Arial"/>
          <w:color w:val="3C3C3C"/>
          <w:sz w:val="22"/>
          <w:szCs w:val="22"/>
        </w:rPr>
        <w:t xml:space="preserve">new riders have a higher likelihood of being involved in an at-fault accident. Liability limits should be at least $100,000/$300,000 to protect personal assets from a serious claim</w:t>
      </w:r>
    </w:p>
    <w:p>
      <w:pPr>
        <w:pStyle w:val="ListParagraph"/>
        <w:numPr>
          <w:ilvl w:val="0"/>
          <w:numId w:val="2"/>
        </w:numPr>
        <w:spacing w:after="60" w:before="60"/>
      </w:pPr>
      <w:r>
        <w:rPr>
          <w:rFonts w:ascii="Arial" w:cs="Arial" w:eastAsia="Arial" w:hAnsi="Arial"/>
          <w:b/>
          <w:bCs/>
          <w:color w:val="D4621A"/>
          <w:sz w:val="22"/>
          <w:szCs w:val="22"/>
        </w:rPr>
        <w:t xml:space="preserve">Carry uninsured motorist coverage — </w:t>
      </w:r>
      <w:r>
        <w:rPr>
          <w:rFonts w:ascii="Arial" w:cs="Arial" w:eastAsia="Arial" w:hAnsi="Arial"/>
          <w:color w:val="3C3C3C"/>
          <w:sz w:val="22"/>
          <w:szCs w:val="22"/>
        </w:rPr>
        <w:t xml:space="preserve">UM/UIM coverage is particularly important for new riders who may not have the experience to avoid accidents caused by other drivers</w:t>
      </w:r>
    </w:p>
    <w:p>
      <w:pPr>
        <w:pStyle w:val="ListParagraph"/>
        <w:numPr>
          <w:ilvl w:val="0"/>
          <w:numId w:val="2"/>
        </w:numPr>
        <w:spacing w:after="60" w:before="60"/>
      </w:pPr>
      <w:r>
        <w:rPr>
          <w:rFonts w:ascii="Arial" w:cs="Arial" w:eastAsia="Arial" w:hAnsi="Arial"/>
          <w:b/>
          <w:bCs/>
          <w:color w:val="D4621A"/>
          <w:sz w:val="22"/>
          <w:szCs w:val="22"/>
        </w:rPr>
        <w:t xml:space="preserve">Consider medical payments or PIP — </w:t>
      </w:r>
      <w:r>
        <w:rPr>
          <w:rFonts w:ascii="Arial" w:cs="Arial" w:eastAsia="Arial" w:hAnsi="Arial"/>
          <w:color w:val="3C3C3C"/>
          <w:sz w:val="22"/>
          <w:szCs w:val="22"/>
        </w:rPr>
        <w:t xml:space="preserve">given the elevated injury risk for new riders, having first-party medical coverage that responds regardless of fault is especially valuable</w:t>
      </w:r>
    </w:p>
    <w:p>
      <w:pPr>
        <w:pStyle w:val="ListParagraph"/>
        <w:numPr>
          <w:ilvl w:val="0"/>
          <w:numId w:val="2"/>
        </w:numPr>
        <w:spacing w:after="60" w:before="60"/>
      </w:pPr>
      <w:r>
        <w:rPr>
          <w:rFonts w:ascii="Arial" w:cs="Arial" w:eastAsia="Arial" w:hAnsi="Arial"/>
          <w:b/>
          <w:bCs/>
          <w:color w:val="D4621A"/>
          <w:sz w:val="22"/>
          <w:szCs w:val="22"/>
        </w:rPr>
        <w:t xml:space="preserve">Physical damage on financed bikes — </w:t>
      </w:r>
      <w:r>
        <w:rPr>
          <w:rFonts w:ascii="Arial" w:cs="Arial" w:eastAsia="Arial" w:hAnsi="Arial"/>
          <w:color w:val="3C3C3C"/>
          <w:sz w:val="22"/>
          <w:szCs w:val="22"/>
        </w:rPr>
        <w:t xml:space="preserve">if the bike is financed, collision and comprehensive are required by the lender — but even on an owned bike, new riders should consider physical damage coverage given the higher likelihood of an incident</w:t>
      </w:r>
    </w:p>
    <w:p>
      <w:pPr>
        <w:pStyle w:val="ListParagraph"/>
        <w:numPr>
          <w:ilvl w:val="0"/>
          <w:numId w:val="2"/>
        </w:numPr>
        <w:spacing w:after="60" w:before="60"/>
      </w:pPr>
      <w:r>
        <w:rPr>
          <w:rFonts w:ascii="Arial" w:cs="Arial" w:eastAsia="Arial" w:hAnsi="Arial"/>
          <w:b/>
          <w:bCs/>
          <w:color w:val="D4621A"/>
          <w:sz w:val="22"/>
          <w:szCs w:val="22"/>
        </w:rPr>
        <w:t xml:space="preserve">Start with an appropriate bike — </w:t>
      </w:r>
      <w:r>
        <w:rPr>
          <w:rFonts w:ascii="Arial" w:cs="Arial" w:eastAsia="Arial" w:hAnsi="Arial"/>
          <w:color w:val="3C3C3C"/>
          <w:sz w:val="22"/>
          <w:szCs w:val="22"/>
        </w:rPr>
        <w:t xml:space="preserve">insurance costs for new riders on beginner-friendly bikes (250cc–500cc) are dramatically lower than for new riders on large sport bikes or cruisers — choosing the right starter bike also significantly improves safety</w:t>
      </w:r>
    </w:p>
    <w:p>
      <w:pPr>
        <w:spacing w:after="0" w:before="100"/>
      </w:pPr>
      <w:r>
        <w:rPr>
          <w:rFonts w:ascii="Arial" w:cs="Arial" w:eastAsia="Arial" w:hAnsi="Arial"/>
        </w:rPr>
        <w:t xml:space="preserve"/>
      </w:r>
    </w:p>
    <w:p>
      <w:pPr>
        <w:pBdr>
          <w:bottom w:val="single" w:color="F0C4A8" w:sz="4" w:space="4"/>
        </w:pBdr>
        <w:spacing w:after="80" w:before="220"/>
      </w:pPr>
      <w:r>
        <w:rPr>
          <w:rFonts w:ascii="Arial" w:cs="Arial" w:eastAsia="Arial" w:hAnsi="Arial"/>
          <w:b/>
          <w:bCs/>
          <w:color w:val="2C2C2C"/>
          <w:sz w:val="24"/>
          <w:szCs w:val="24"/>
        </w:rPr>
        <w:t xml:space="preserve">Strategies to Lower New Rider Premiums</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D4621A"/>
          <w:sz w:val="22"/>
          <w:szCs w:val="22"/>
        </w:rPr>
        <w:t xml:space="preserve">Complete the MSF Basic RiderCourse — </w:t>
      </w:r>
      <w:r>
        <w:rPr>
          <w:rFonts w:ascii="Arial" w:cs="Arial" w:eastAsia="Arial" w:hAnsi="Arial"/>
          <w:color w:val="3C3C3C"/>
          <w:sz w:val="22"/>
          <w:szCs w:val="22"/>
        </w:rPr>
        <w:t xml:space="preserve">earn the safety discount and benefit from the training that reduces accident risk</w:t>
      </w:r>
    </w:p>
    <w:p>
      <w:pPr>
        <w:pStyle w:val="ListParagraph"/>
        <w:numPr>
          <w:ilvl w:val="0"/>
          <w:numId w:val="2"/>
        </w:numPr>
        <w:spacing w:after="60" w:before="60"/>
      </w:pPr>
      <w:r>
        <w:rPr>
          <w:rFonts w:ascii="Arial" w:cs="Arial" w:eastAsia="Arial" w:hAnsi="Arial"/>
          <w:b/>
          <w:bCs/>
          <w:color w:val="D4621A"/>
          <w:sz w:val="22"/>
          <w:szCs w:val="22"/>
        </w:rPr>
        <w:t xml:space="preserve">Choose a beginner-appropriate bike — </w:t>
      </w:r>
      <w:r>
        <w:rPr>
          <w:rFonts w:ascii="Arial" w:cs="Arial" w:eastAsia="Arial" w:hAnsi="Arial"/>
          <w:color w:val="3C3C3C"/>
          <w:sz w:val="22"/>
          <w:szCs w:val="22"/>
        </w:rPr>
        <w:t xml:space="preserve">start with a smaller, less powerful motorcycle to keep insurance costs manageable</w:t>
      </w:r>
    </w:p>
    <w:p>
      <w:pPr>
        <w:pStyle w:val="ListParagraph"/>
        <w:numPr>
          <w:ilvl w:val="0"/>
          <w:numId w:val="2"/>
        </w:numPr>
        <w:spacing w:after="60" w:before="60"/>
      </w:pPr>
      <w:r>
        <w:rPr>
          <w:rFonts w:ascii="Arial" w:cs="Arial" w:eastAsia="Arial" w:hAnsi="Arial"/>
          <w:b/>
          <w:bCs/>
          <w:color w:val="D4621A"/>
          <w:sz w:val="22"/>
          <w:szCs w:val="22"/>
        </w:rPr>
        <w:t xml:space="preserve">Maintain a clean driving record — </w:t>
      </w:r>
      <w:r>
        <w:rPr>
          <w:rFonts w:ascii="Arial" w:cs="Arial" w:eastAsia="Arial" w:hAnsi="Arial"/>
          <w:color w:val="3C3C3C"/>
          <w:sz w:val="22"/>
          <w:szCs w:val="22"/>
        </w:rPr>
        <w:t xml:space="preserve">auto driving record history carries over to motorcycle insurance ratings</w:t>
      </w:r>
    </w:p>
    <w:p>
      <w:pPr>
        <w:pStyle w:val="ListParagraph"/>
        <w:numPr>
          <w:ilvl w:val="0"/>
          <w:numId w:val="2"/>
        </w:numPr>
        <w:spacing w:after="60" w:before="60"/>
      </w:pPr>
      <w:r>
        <w:rPr>
          <w:rFonts w:ascii="Arial" w:cs="Arial" w:eastAsia="Arial" w:hAnsi="Arial"/>
          <w:b/>
          <w:bCs/>
          <w:color w:val="D4621A"/>
          <w:sz w:val="22"/>
          <w:szCs w:val="22"/>
        </w:rPr>
        <w:t xml:space="preserve">Bundle with existing policies — </w:t>
      </w:r>
      <w:r>
        <w:rPr>
          <w:rFonts w:ascii="Arial" w:cs="Arial" w:eastAsia="Arial" w:hAnsi="Arial"/>
          <w:color w:val="3C3C3C"/>
          <w:sz w:val="22"/>
          <w:szCs w:val="22"/>
        </w:rPr>
        <w:t xml:space="preserve">adding a motorcycle policy to an existing auto and homeowners policy package often earns a multi-policy discount</w:t>
      </w:r>
    </w:p>
    <w:p>
      <w:pPr>
        <w:pStyle w:val="ListParagraph"/>
        <w:numPr>
          <w:ilvl w:val="0"/>
          <w:numId w:val="2"/>
        </w:numPr>
        <w:spacing w:after="60" w:before="60"/>
      </w:pPr>
      <w:r>
        <w:rPr>
          <w:rFonts w:ascii="Arial" w:cs="Arial" w:eastAsia="Arial" w:hAnsi="Arial"/>
          <w:b/>
          <w:bCs/>
          <w:color w:val="D4621A"/>
          <w:sz w:val="22"/>
          <w:szCs w:val="22"/>
        </w:rPr>
        <w:t xml:space="preserve">Increase deductibles — </w:t>
      </w:r>
      <w:r>
        <w:rPr>
          <w:rFonts w:ascii="Arial" w:cs="Arial" w:eastAsia="Arial" w:hAnsi="Arial"/>
          <w:color w:val="3C3C3C"/>
          <w:sz w:val="22"/>
          <w:szCs w:val="22"/>
        </w:rPr>
        <w:t xml:space="preserve">raising collision and comprehensive deductibles from $250 to $500 or $1,000 can meaningfully reduce premiums</w:t>
      </w:r>
    </w:p>
    <w:p>
      <w:pPr>
        <w:pStyle w:val="ListParagraph"/>
        <w:numPr>
          <w:ilvl w:val="0"/>
          <w:numId w:val="2"/>
        </w:numPr>
        <w:spacing w:after="60" w:before="60"/>
      </w:pPr>
      <w:r>
        <w:rPr>
          <w:rFonts w:ascii="Arial" w:cs="Arial" w:eastAsia="Arial" w:hAnsi="Arial"/>
          <w:b/>
          <w:bCs/>
          <w:color w:val="D4621A"/>
          <w:sz w:val="22"/>
          <w:szCs w:val="22"/>
        </w:rPr>
        <w:t xml:space="preserve">Take an advanced rider course — </w:t>
      </w:r>
      <w:r>
        <w:rPr>
          <w:rFonts w:ascii="Arial" w:cs="Arial" w:eastAsia="Arial" w:hAnsi="Arial"/>
          <w:color w:val="3C3C3C"/>
          <w:sz w:val="22"/>
          <w:szCs w:val="22"/>
        </w:rPr>
        <w:t xml:space="preserve">after the first year, completing an advanced riding course demonstrates continued commitment to safety and may earn additional discounts</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1A5C2A" w:sz="18"/>
              <w:bottom w:val="none" w:color="FFFFFF" w:sz="0"/>
              <w:right w:val="none" w:color="FFFFFF" w:sz="0"/>
            </w:tcBorders>
            <w:shd w:fill="EDF7F0" w:val="clear"/>
            <w:tcMar>
              <w:top w:type="dxa" w:w="110"/>
              <w:left w:type="dxa" w:w="200"/>
              <w:bottom w:type="dxa" w:w="110"/>
              <w:right w:type="dxa" w:w="160"/>
            </w:tcMar>
          </w:tcPr>
          <w:p>
            <w:pPr>
              <w:spacing w:after="60" w:before="0"/>
            </w:pPr>
            <w:r>
              <w:rPr>
                <w:rFonts w:ascii="Arial" w:cs="Arial" w:eastAsia="Arial" w:hAnsi="Arial"/>
                <w:b/>
                <w:bCs/>
                <w:caps/>
                <w:color w:val="1A5C2A"/>
                <w:sz w:val="19"/>
                <w:szCs w:val="19"/>
              </w:rPr>
              <w:t xml:space="preserve">New Rider Premium Range</w:t>
            </w:r>
          </w:p>
          <w:p>
            <w:pPr>
              <w:spacing w:after="0" w:before="0"/>
            </w:pPr>
            <w:r>
              <w:rPr>
                <w:rFonts w:ascii="Arial" w:cs="Arial" w:eastAsia="Arial" w:hAnsi="Arial"/>
                <w:color w:val="1A3A22"/>
                <w:sz w:val="20"/>
                <w:szCs w:val="20"/>
              </w:rPr>
              <w:t xml:space="preserve">A new rider (less than 2 years experience) on a beginner-appropriate 300cc bike with $100,000/$300,000 liability, collision ($500 deductible), and comprehensive coverage can typically expect premiums in the range of $800–$1,400 per year depending on location, driving record, and carrier. The same coverage on a 1,000cc sport bike could be $2,000–$4,000+ per year.</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D4621A" w:sz="18"/>
              <w:bottom w:val="none" w:color="FFFFFF" w:sz="0"/>
              <w:right w:val="none" w:color="FFFFFF" w:sz="0"/>
            </w:tcBorders>
            <w:shd w:fill="FDF4EE" w:val="clear"/>
            <w:tcMar>
              <w:top w:type="dxa" w:w="110"/>
              <w:left w:type="dxa" w:w="200"/>
              <w:bottom w:type="dxa" w:w="110"/>
              <w:right w:type="dxa" w:w="160"/>
            </w:tcMar>
          </w:tcPr>
          <w:p>
            <w:pPr>
              <w:spacing w:after="0" w:before="0"/>
            </w:pPr>
            <w:r>
              <w:rPr>
                <w:rFonts w:ascii="Arial" w:cs="Arial" w:eastAsia="Arial" w:hAnsi="Arial"/>
                <w:b/>
                <w:bCs/>
                <w:color w:val="C04E00"/>
                <w:sz w:val="20"/>
                <w:szCs w:val="20"/>
              </w:rPr>
              <w:t xml:space="preserve">Key Takeaway: </w:t>
            </w:r>
            <w:r>
              <w:rPr>
                <w:rFonts w:ascii="Arial" w:cs="Arial" w:eastAsia="Arial" w:hAnsi="Arial"/>
                <w:color w:val="3C3C3C"/>
                <w:sz w:val="20"/>
                <w:szCs w:val="20"/>
              </w:rPr>
              <w:t xml:space="preserve">The most powerful thing a new rider can do for both safety and insurance costs is to start on the right bike and complete a formal rider safety course. The MSF Basic RiderCourse improves riding skills, reduces accident risk, and earns immediate insurance premium savings.</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2C2C2C" w:val="clear"/>
            <w:tcMar>
              <w:top w:type="dxa" w:w="160"/>
              <w:left w:type="dxa" w:w="240"/>
              <w:bottom w:type="dxa" w:w="160"/>
              <w:right w:type="dxa" w:w="240"/>
            </w:tcMar>
          </w:tcPr>
          <w:p>
            <w:pPr>
              <w:spacing w:after="0" w:before="0"/>
            </w:pPr>
            <w:r>
              <w:rPr>
                <w:rFonts w:ascii="Arial" w:cs="Arial" w:eastAsia="Arial" w:hAnsi="Arial"/>
                <w:b/>
                <w:bCs/>
                <w:color w:val="D4621A"/>
                <w:sz w:val="28"/>
                <w:szCs w:val="28"/>
              </w:rPr>
              <w:t xml:space="preserve">10.  </w:t>
            </w:r>
            <w:r>
              <w:rPr>
                <w:rFonts w:ascii="Arial" w:cs="Arial" w:eastAsia="Arial" w:hAnsi="Arial"/>
                <w:b/>
                <w:bCs/>
                <w:color w:val="FFFFFF"/>
                <w:sz w:val="28"/>
                <w:szCs w:val="28"/>
              </w:rPr>
              <w:t xml:space="preserve">Role of Motorcycle Insurance in a Total Insurance Program</w:t>
            </w:r>
          </w:p>
        </w:tc>
      </w:tr>
    </w:tbl>
    <w:p>
      <w:pPr>
        <w:spacing w:after="0" w:before="100"/>
      </w:pPr>
      <w:r>
        <w:rPr>
          <w:rFonts w:ascii="Arial" w:cs="Arial" w:eastAsia="Arial" w:hAnsi="Arial"/>
        </w:rPr>
        <w:t xml:space="preserve"/>
      </w:r>
    </w:p>
    <w:p>
      <w:pPr>
        <w:spacing w:after="110" w:before="80"/>
      </w:pPr>
      <w:r>
        <w:rPr>
          <w:rFonts w:ascii="Arial" w:cs="Arial" w:eastAsia="Arial" w:hAnsi="Arial"/>
          <w:color w:val="1A1A1A"/>
          <w:sz w:val="22"/>
          <w:szCs w:val="22"/>
        </w:rPr>
        <w:t xml:space="preserve">Motorcycle insurance does not exist in isolation — it is one component of a comprehensive personal insurance program. Understanding how motorcycle coverage interacts with your other policies, fills gaps that other coverages leave open, and fits into your overall financial protection strategy is essential to building a complete and effective insurance program.</w:t>
      </w:r>
    </w:p>
    <w:p>
      <w:pPr>
        <w:spacing w:after="0" w:before="100"/>
      </w:pPr>
      <w:r>
        <w:rPr>
          <w:rFonts w:ascii="Arial" w:cs="Arial" w:eastAsia="Arial" w:hAnsi="Arial"/>
        </w:rPr>
        <w:t xml:space="preserve"/>
      </w:r>
    </w:p>
    <w:p>
      <w:pPr>
        <w:pBdr>
          <w:bottom w:val="single" w:color="F0C4A8" w:sz="4" w:space="4"/>
        </w:pBdr>
        <w:spacing w:after="80" w:before="220"/>
      </w:pPr>
      <w:r>
        <w:rPr>
          <w:rFonts w:ascii="Arial" w:cs="Arial" w:eastAsia="Arial" w:hAnsi="Arial"/>
          <w:b/>
          <w:bCs/>
          <w:color w:val="2C2C2C"/>
          <w:sz w:val="24"/>
          <w:szCs w:val="24"/>
        </w:rPr>
        <w:t xml:space="preserve">How Motorcycle Insurance Fits the Complete Program</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000"/>
        <w:gridCol w:w="6360"/>
      </w:tblGrid>
      <w:tr>
        <w:tc>
          <w:tcPr>
            <w:tcW w:type="dxa" w:w="3000"/>
            <w:tcBorders>
              <w:top w:val="none" w:color="FFFFFF" w:sz="0"/>
              <w:left w:val="none" w:color="FFFFFF" w:sz="0"/>
              <w:bottom w:val="none" w:color="FFFFFF" w:sz="0"/>
              <w:right w:val="none" w:color="FFFFFF" w:sz="0"/>
            </w:tcBorders>
            <w:shd w:fill="2C2C2C"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Personal Umbrella</w:t>
            </w:r>
          </w:p>
        </w:tc>
        <w:tc>
          <w:tcPr>
            <w:tcW w:type="dxa" w:w="6360"/>
            <w:tcBorders>
              <w:top w:val="single" w:color="C0C8D0" w:sz="1"/>
              <w:left w:val="single" w:color="C0C8D0" w:sz="1"/>
              <w:bottom w:val="single" w:color="C0C8D0" w:sz="1"/>
              <w:right w:val="single" w:color="C0C8D0" w:sz="1"/>
            </w:tcBorders>
            <w:shd w:fill="F2F4F6" w:val="clear"/>
            <w:tcMar>
              <w:top w:type="dxa" w:w="100"/>
              <w:left w:type="dxa" w:w="160"/>
              <w:bottom w:type="dxa" w:w="100"/>
              <w:right w:type="dxa" w:w="160"/>
            </w:tcMar>
          </w:tcPr>
          <w:p>
            <w:pPr>
              <w:spacing w:after="0" w:before="0"/>
            </w:pPr>
            <w:r>
              <w:rPr>
                <w:rFonts w:ascii="Arial" w:cs="Arial" w:eastAsia="Arial" w:hAnsi="Arial"/>
                <w:color w:val="3C3C3C"/>
                <w:sz w:val="20"/>
                <w:szCs w:val="20"/>
              </w:rPr>
              <w:t xml:space="preserve">Provides excess liability above motorcycle, auto, and homeowners limits. Essential for riders with significant assets to protect.</w:t>
            </w:r>
          </w:p>
        </w:tc>
      </w:tr>
      <w:tr>
        <w:tc>
          <w:tcPr>
            <w:tcW w:type="dxa" w:w="3000"/>
            <w:tcBorders>
              <w:top w:val="none" w:color="FFFFFF" w:sz="0"/>
              <w:left w:val="none" w:color="FFFFFF" w:sz="0"/>
              <w:bottom w:val="none" w:color="FFFFFF" w:sz="0"/>
              <w:right w:val="none" w:color="FFFFFF" w:sz="0"/>
            </w:tcBorders>
            <w:shd w:fill="C04E0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Motorcycle Insurance</w:t>
            </w:r>
          </w:p>
        </w:tc>
        <w:tc>
          <w:tcPr>
            <w:tcW w:type="dxa" w:w="6360"/>
            <w:tcBorders>
              <w:top w:val="single" w:color="C0C8D0" w:sz="1"/>
              <w:left w:val="single" w:color="C0C8D0" w:sz="1"/>
              <w:bottom w:val="single" w:color="C0C8D0" w:sz="1"/>
              <w:right w:val="single" w:color="C0C8D0" w:sz="1"/>
            </w:tcBorders>
            <w:shd w:fill="FFFFFF" w:val="clear"/>
            <w:tcMar>
              <w:top w:type="dxa" w:w="100"/>
              <w:left w:type="dxa" w:w="160"/>
              <w:bottom w:type="dxa" w:w="100"/>
              <w:right w:type="dxa" w:w="160"/>
            </w:tcMar>
          </w:tcPr>
          <w:p>
            <w:pPr>
              <w:spacing w:after="0" w:before="0"/>
            </w:pPr>
            <w:r>
              <w:rPr>
                <w:rFonts w:ascii="Arial" w:cs="Arial" w:eastAsia="Arial" w:hAnsi="Arial"/>
                <w:color w:val="3C3C3C"/>
                <w:sz w:val="20"/>
                <w:szCs w:val="20"/>
              </w:rPr>
              <w:t xml:space="preserve">Liability, physical damage, UM/UIM, medical payments, gear coverage, and accessories. Covers all motorcycle-specific risks not addressed by other policies.</w:t>
            </w:r>
          </w:p>
        </w:tc>
      </w:tr>
      <w:tr>
        <w:tc>
          <w:tcPr>
            <w:tcW w:type="dxa" w:w="3000"/>
            <w:tcBorders>
              <w:top w:val="none" w:color="FFFFFF" w:sz="0"/>
              <w:left w:val="none" w:color="FFFFFF" w:sz="0"/>
              <w:bottom w:val="none" w:color="FFFFFF" w:sz="0"/>
              <w:right w:val="none" w:color="FFFFFF" w:sz="0"/>
            </w:tcBorders>
            <w:shd w:fill="3A455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Auto Insurance</w:t>
            </w:r>
          </w:p>
        </w:tc>
        <w:tc>
          <w:tcPr>
            <w:tcW w:type="dxa" w:w="6360"/>
            <w:tcBorders>
              <w:top w:val="single" w:color="C0C8D0" w:sz="1"/>
              <w:left w:val="single" w:color="C0C8D0" w:sz="1"/>
              <w:bottom w:val="single" w:color="C0C8D0" w:sz="1"/>
              <w:right w:val="single" w:color="C0C8D0" w:sz="1"/>
            </w:tcBorders>
            <w:shd w:fill="F2F4F6" w:val="clear"/>
            <w:tcMar>
              <w:top w:type="dxa" w:w="100"/>
              <w:left w:type="dxa" w:w="160"/>
              <w:bottom w:type="dxa" w:w="100"/>
              <w:right w:type="dxa" w:w="160"/>
            </w:tcMar>
          </w:tcPr>
          <w:p>
            <w:pPr>
              <w:spacing w:after="0" w:before="0"/>
            </w:pPr>
            <w:r>
              <w:rPr>
                <w:rFonts w:ascii="Arial" w:cs="Arial" w:eastAsia="Arial" w:hAnsi="Arial"/>
                <w:color w:val="3C3C3C"/>
                <w:sz w:val="20"/>
                <w:szCs w:val="20"/>
              </w:rPr>
              <w:t xml:space="preserve">Covers automobiles and light trucks. Does NOT cover motorcycles or mopeds. Separate from motorcycle coverage.</w:t>
            </w:r>
          </w:p>
        </w:tc>
      </w:tr>
      <w:tr>
        <w:tc>
          <w:tcPr>
            <w:tcW w:type="dxa" w:w="3000"/>
            <w:tcBorders>
              <w:top w:val="none" w:color="FFFFFF" w:sz="0"/>
              <w:left w:val="none" w:color="FFFFFF" w:sz="0"/>
              <w:bottom w:val="none" w:color="FFFFFF" w:sz="0"/>
              <w:right w:val="none" w:color="FFFFFF" w:sz="0"/>
            </w:tcBorders>
            <w:shd w:fill="5A6570"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Homeowners / Renters</w:t>
            </w:r>
          </w:p>
        </w:tc>
        <w:tc>
          <w:tcPr>
            <w:tcW w:type="dxa" w:w="6360"/>
            <w:tcBorders>
              <w:top w:val="single" w:color="C0C8D0" w:sz="1"/>
              <w:left w:val="single" w:color="C0C8D0" w:sz="1"/>
              <w:bottom w:val="single" w:color="C0C8D0" w:sz="1"/>
              <w:right w:val="single" w:color="C0C8D0" w:sz="1"/>
            </w:tcBorders>
            <w:shd w:fill="FFFFFF" w:val="clear"/>
            <w:tcMar>
              <w:top w:type="dxa" w:w="100"/>
              <w:left w:type="dxa" w:w="160"/>
              <w:bottom w:type="dxa" w:w="100"/>
              <w:right w:type="dxa" w:w="160"/>
            </w:tcMar>
          </w:tcPr>
          <w:p>
            <w:pPr>
              <w:spacing w:after="0" w:before="0"/>
            </w:pPr>
            <w:r>
              <w:rPr>
                <w:rFonts w:ascii="Arial" w:cs="Arial" w:eastAsia="Arial" w:hAnsi="Arial"/>
                <w:color w:val="3C3C3C"/>
                <w:sz w:val="20"/>
                <w:szCs w:val="20"/>
              </w:rPr>
              <w:t xml:space="preserve">Covers the home, personal property, and personal liability. May provide limited coverage for riding gear and accessories stored at home, but does not cover the motorcycle itself.</w:t>
            </w:r>
          </w:p>
        </w:tc>
      </w:tr>
      <w:tr>
        <w:tc>
          <w:tcPr>
            <w:tcW w:type="dxa" w:w="3000"/>
            <w:tcBorders>
              <w:top w:val="none" w:color="FFFFFF" w:sz="0"/>
              <w:left w:val="none" w:color="FFFFFF" w:sz="0"/>
              <w:bottom w:val="none" w:color="FFFFFF" w:sz="0"/>
              <w:right w:val="none" w:color="FFFFFF" w:sz="0"/>
            </w:tcBorders>
            <w:shd w:fill="4A4A4A" w:val="clear"/>
            <w:tcMar>
              <w:top w:type="dxa" w:w="100"/>
              <w:left w:type="dxa" w:w="160"/>
              <w:bottom w:type="dxa" w:w="100"/>
              <w:right w:type="dxa" w:w="160"/>
            </w:tcMar>
          </w:tcPr>
          <w:p>
            <w:pPr>
              <w:spacing w:after="0" w:before="0"/>
            </w:pPr>
            <w:r>
              <w:rPr>
                <w:rFonts w:ascii="Arial" w:cs="Arial" w:eastAsia="Arial" w:hAnsi="Arial"/>
                <w:b/>
                <w:bCs/>
                <w:color w:val="FFFFFF"/>
                <w:sz w:val="20"/>
                <w:szCs w:val="20"/>
              </w:rPr>
              <w:t xml:space="preserve">Health Insurance</w:t>
            </w:r>
          </w:p>
        </w:tc>
        <w:tc>
          <w:tcPr>
            <w:tcW w:type="dxa" w:w="6360"/>
            <w:tcBorders>
              <w:top w:val="single" w:color="C0C8D0" w:sz="1"/>
              <w:left w:val="single" w:color="C0C8D0" w:sz="1"/>
              <w:bottom w:val="single" w:color="C0C8D0" w:sz="1"/>
              <w:right w:val="single" w:color="C0C8D0" w:sz="1"/>
            </w:tcBorders>
            <w:shd w:fill="F2F4F6" w:val="clear"/>
            <w:tcMar>
              <w:top w:type="dxa" w:w="100"/>
              <w:left w:type="dxa" w:w="160"/>
              <w:bottom w:type="dxa" w:w="100"/>
              <w:right w:type="dxa" w:w="160"/>
            </w:tcMar>
          </w:tcPr>
          <w:p>
            <w:pPr>
              <w:spacing w:after="0" w:before="0"/>
            </w:pPr>
            <w:r>
              <w:rPr>
                <w:rFonts w:ascii="Arial" w:cs="Arial" w:eastAsia="Arial" w:hAnsi="Arial"/>
                <w:color w:val="3C3C3C"/>
                <w:sz w:val="20"/>
                <w:szCs w:val="20"/>
              </w:rPr>
              <w:t xml:space="preserve">Covers medical expenses from riding injuries after health plan deductible and copays. Works in coordination with MedPay/PIP on the motorcycle policy.</w:t>
            </w:r>
          </w:p>
        </w:tc>
      </w:tr>
    </w:tbl>
    <w:p>
      <w:pPr>
        <w:spacing w:after="0" w:before="120"/>
      </w:pPr>
      <w:r>
        <w:rPr>
          <w:rFonts w:ascii="Arial" w:cs="Arial" w:eastAsia="Arial" w:hAnsi="Arial"/>
        </w:rPr>
        <w:t xml:space="preserve"/>
      </w:r>
    </w:p>
    <w:p>
      <w:pPr>
        <w:pBdr>
          <w:bottom w:val="single" w:color="F0C4A8" w:sz="4" w:space="4"/>
        </w:pBdr>
        <w:spacing w:after="80" w:before="220"/>
      </w:pPr>
      <w:r>
        <w:rPr>
          <w:rFonts w:ascii="Arial" w:cs="Arial" w:eastAsia="Arial" w:hAnsi="Arial"/>
          <w:b/>
          <w:bCs/>
          <w:color w:val="2C2C2C"/>
          <w:sz w:val="24"/>
          <w:szCs w:val="24"/>
        </w:rPr>
        <w:t xml:space="preserve">Key Coordination Points Between Policies</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D4621A"/>
          <w:sz w:val="22"/>
          <w:szCs w:val="22"/>
        </w:rPr>
        <w:t xml:space="preserve">Motorcycle liability and personal umbrella — </w:t>
      </w:r>
      <w:r>
        <w:rPr>
          <w:rFonts w:ascii="Arial" w:cs="Arial" w:eastAsia="Arial" w:hAnsi="Arial"/>
          <w:color w:val="3C3C3C"/>
          <w:sz w:val="22"/>
          <w:szCs w:val="22"/>
        </w:rPr>
        <w:t xml:space="preserve">a personal umbrella policy typically extends excess liability above your motorcycle policy’s underlying limit. Ensure your motorcycle liability limits meet the umbrella’s required minimums — usually $300,000 per accident</w:t>
      </w:r>
    </w:p>
    <w:p>
      <w:pPr>
        <w:pStyle w:val="ListParagraph"/>
        <w:numPr>
          <w:ilvl w:val="0"/>
          <w:numId w:val="2"/>
        </w:numPr>
        <w:spacing w:after="60" w:before="60"/>
      </w:pPr>
      <w:r>
        <w:rPr>
          <w:rFonts w:ascii="Arial" w:cs="Arial" w:eastAsia="Arial" w:hAnsi="Arial"/>
          <w:b/>
          <w:bCs/>
          <w:color w:val="D4621A"/>
          <w:sz w:val="22"/>
          <w:szCs w:val="22"/>
        </w:rPr>
        <w:t xml:space="preserve">Motorcycle medical payments and health insurance — </w:t>
      </w:r>
      <w:r>
        <w:rPr>
          <w:rFonts w:ascii="Arial" w:cs="Arial" w:eastAsia="Arial" w:hAnsi="Arial"/>
          <w:color w:val="3C3C3C"/>
          <w:sz w:val="22"/>
          <w:szCs w:val="22"/>
        </w:rPr>
        <w:t xml:space="preserve">MedPay on your motorcycle policy pays first for medical expenses from a riding accident. Your health insurance then picks up costs exceeding MedPay limits, subject to health plan deductibles</w:t>
      </w:r>
    </w:p>
    <w:p>
      <w:pPr>
        <w:pStyle w:val="ListParagraph"/>
        <w:numPr>
          <w:ilvl w:val="0"/>
          <w:numId w:val="2"/>
        </w:numPr>
        <w:spacing w:after="60" w:before="60"/>
      </w:pPr>
      <w:r>
        <w:rPr>
          <w:rFonts w:ascii="Arial" w:cs="Arial" w:eastAsia="Arial" w:hAnsi="Arial"/>
          <w:b/>
          <w:bCs/>
          <w:color w:val="D4621A"/>
          <w:sz w:val="22"/>
          <w:szCs w:val="22"/>
        </w:rPr>
        <w:t xml:space="preserve">Riding gear and homeowners — </w:t>
      </w:r>
      <w:r>
        <w:rPr>
          <w:rFonts w:ascii="Arial" w:cs="Arial" w:eastAsia="Arial" w:hAnsi="Arial"/>
          <w:color w:val="3C3C3C"/>
          <w:sz w:val="22"/>
          <w:szCs w:val="22"/>
        </w:rPr>
        <w:t xml:space="preserve">motorcycle-specific riding gear (helmets, jackets, gloves, boots) may be covered for theft under your homeowners policy up to the personal property sublimit; dedicated gear coverage on your motorcycle policy provides broader and higher-limit protection</w:t>
      </w:r>
    </w:p>
    <w:p>
      <w:pPr>
        <w:pStyle w:val="ListParagraph"/>
        <w:numPr>
          <w:ilvl w:val="0"/>
          <w:numId w:val="2"/>
        </w:numPr>
        <w:spacing w:after="60" w:before="60"/>
      </w:pPr>
      <w:r>
        <w:rPr>
          <w:rFonts w:ascii="Arial" w:cs="Arial" w:eastAsia="Arial" w:hAnsi="Arial"/>
          <w:b/>
          <w:bCs/>
          <w:color w:val="D4621A"/>
          <w:sz w:val="22"/>
          <w:szCs w:val="22"/>
        </w:rPr>
        <w:t xml:space="preserve">Motorcycle and auto UM/UIM — </w:t>
      </w:r>
      <w:r>
        <w:rPr>
          <w:rFonts w:ascii="Arial" w:cs="Arial" w:eastAsia="Arial" w:hAnsi="Arial"/>
          <w:color w:val="3C3C3C"/>
          <w:sz w:val="22"/>
          <w:szCs w:val="22"/>
        </w:rPr>
        <w:t xml:space="preserve">maintaining UM/UIM on both your auto and motorcycle policies ensures you have adequate protection on each vehicle. Some states allow UM/UIM stacking across policies; others do not</w:t>
      </w:r>
    </w:p>
    <w:p>
      <w:pPr>
        <w:pStyle w:val="ListParagraph"/>
        <w:numPr>
          <w:ilvl w:val="0"/>
          <w:numId w:val="2"/>
        </w:numPr>
        <w:spacing w:after="60" w:before="60"/>
      </w:pPr>
      <w:r>
        <w:rPr>
          <w:rFonts w:ascii="Arial" w:cs="Arial" w:eastAsia="Arial" w:hAnsi="Arial"/>
          <w:b/>
          <w:bCs/>
          <w:color w:val="D4621A"/>
          <w:sz w:val="22"/>
          <w:szCs w:val="22"/>
        </w:rPr>
        <w:t xml:space="preserve">Classic motorcycle and agreed value — </w:t>
      </w:r>
      <w:r>
        <w:rPr>
          <w:rFonts w:ascii="Arial" w:cs="Arial" w:eastAsia="Arial" w:hAnsi="Arial"/>
          <w:color w:val="3C3C3C"/>
          <w:sz w:val="22"/>
          <w:szCs w:val="22"/>
        </w:rPr>
        <w:t xml:space="preserve">if you own a vintage or classic motorcycle in addition to a standard bike, a collector vehicle policy with agreed value coverage may be more appropriate than a standard motorcycle policy</w:t>
      </w:r>
    </w:p>
    <w:p>
      <w:pPr>
        <w:spacing w:after="0" w:before="100"/>
      </w:pPr>
      <w:r>
        <w:rPr>
          <w:rFonts w:ascii="Arial" w:cs="Arial" w:eastAsia="Arial" w:hAnsi="Arial"/>
        </w:rPr>
        <w:t xml:space="preserve"/>
      </w:r>
    </w:p>
    <w:p>
      <w:pPr>
        <w:pBdr>
          <w:bottom w:val="single" w:color="F0C4A8" w:sz="4" w:space="4"/>
        </w:pBdr>
        <w:spacing w:after="80" w:before="220"/>
      </w:pPr>
      <w:r>
        <w:rPr>
          <w:rFonts w:ascii="Arial" w:cs="Arial" w:eastAsia="Arial" w:hAnsi="Arial"/>
          <w:b/>
          <w:bCs/>
          <w:color w:val="2C2C2C"/>
          <w:sz w:val="24"/>
          <w:szCs w:val="24"/>
        </w:rPr>
        <w:t xml:space="preserve">Annual Program Review for Motorcycle Owners</w:t>
      </w:r>
    </w:p>
    <w:p>
      <w:pPr>
        <w:spacing w:after="0" w:before="60"/>
      </w:pPr>
      <w:r>
        <w:rPr>
          <w:rFonts w:ascii="Arial" w:cs="Arial" w:eastAsia="Arial" w:hAnsi="Arial"/>
        </w:rPr>
        <w:t xml:space="preserve"/>
      </w:r>
    </w:p>
    <w:p>
      <w:pPr>
        <w:pStyle w:val="ListParagraph"/>
        <w:numPr>
          <w:ilvl w:val="0"/>
          <w:numId w:val="2"/>
        </w:numPr>
        <w:spacing w:after="60" w:before="60"/>
      </w:pPr>
      <w:r>
        <w:rPr>
          <w:rFonts w:ascii="Arial" w:cs="Arial" w:eastAsia="Arial" w:hAnsi="Arial"/>
          <w:b/>
          <w:bCs/>
          <w:color w:val="D4621A"/>
          <w:sz w:val="22"/>
          <w:szCs w:val="22"/>
        </w:rPr>
        <w:t xml:space="preserve">Confirm motorcycle is listed on umbrella schedule — </w:t>
      </w:r>
      <w:r>
        <w:rPr>
          <w:rFonts w:ascii="Arial" w:cs="Arial" w:eastAsia="Arial" w:hAnsi="Arial"/>
          <w:color w:val="3C3C3C"/>
          <w:sz w:val="22"/>
          <w:szCs w:val="22"/>
        </w:rPr>
        <w:t xml:space="preserve">ensure your personal umbrella policy recognizes your motorcycle as an underlying scheduled vehicle</w:t>
      </w:r>
    </w:p>
    <w:p>
      <w:pPr>
        <w:pStyle w:val="ListParagraph"/>
        <w:numPr>
          <w:ilvl w:val="0"/>
          <w:numId w:val="2"/>
        </w:numPr>
        <w:spacing w:after="60" w:before="60"/>
      </w:pPr>
      <w:r>
        <w:rPr>
          <w:rFonts w:ascii="Arial" w:cs="Arial" w:eastAsia="Arial" w:hAnsi="Arial"/>
          <w:b/>
          <w:bCs/>
          <w:color w:val="D4621A"/>
          <w:sz w:val="22"/>
          <w:szCs w:val="22"/>
        </w:rPr>
        <w:t xml:space="preserve">Review coverage limits annually — </w:t>
      </w:r>
      <w:r>
        <w:rPr>
          <w:rFonts w:ascii="Arial" w:cs="Arial" w:eastAsia="Arial" w:hAnsi="Arial"/>
          <w:color w:val="3C3C3C"/>
          <w:sz w:val="22"/>
          <w:szCs w:val="22"/>
        </w:rPr>
        <w:t xml:space="preserve">as your riding experience grows, your risk profile improves and your coverage needs may change; review limits and deductibles each renewal</w:t>
      </w:r>
    </w:p>
    <w:p>
      <w:pPr>
        <w:pStyle w:val="ListParagraph"/>
        <w:numPr>
          <w:ilvl w:val="0"/>
          <w:numId w:val="2"/>
        </w:numPr>
        <w:spacing w:after="60" w:before="60"/>
      </w:pPr>
      <w:r>
        <w:rPr>
          <w:rFonts w:ascii="Arial" w:cs="Arial" w:eastAsia="Arial" w:hAnsi="Arial"/>
          <w:b/>
          <w:bCs/>
          <w:color w:val="D4621A"/>
          <w:sz w:val="22"/>
          <w:szCs w:val="22"/>
        </w:rPr>
        <w:t xml:space="preserve">Update bike value after modifications — </w:t>
      </w:r>
      <w:r>
        <w:rPr>
          <w:rFonts w:ascii="Arial" w:cs="Arial" w:eastAsia="Arial" w:hAnsi="Arial"/>
          <w:color w:val="3C3C3C"/>
          <w:sz w:val="22"/>
          <w:szCs w:val="22"/>
        </w:rPr>
        <w:t xml:space="preserve">custom parts, accessories, and performance upgrades increase the replacement value of your motorcycle; update your scheduled equipment coverage accordingly</w:t>
      </w:r>
    </w:p>
    <w:p>
      <w:pPr>
        <w:pStyle w:val="ListParagraph"/>
        <w:numPr>
          <w:ilvl w:val="0"/>
          <w:numId w:val="2"/>
        </w:numPr>
        <w:spacing w:after="60" w:before="60"/>
      </w:pPr>
      <w:r>
        <w:rPr>
          <w:rFonts w:ascii="Arial" w:cs="Arial" w:eastAsia="Arial" w:hAnsi="Arial"/>
          <w:b/>
          <w:bCs/>
          <w:color w:val="D4621A"/>
          <w:sz w:val="22"/>
          <w:szCs w:val="22"/>
        </w:rPr>
        <w:t xml:space="preserve">Review gear coverage — </w:t>
      </w:r>
      <w:r>
        <w:rPr>
          <w:rFonts w:ascii="Arial" w:cs="Arial" w:eastAsia="Arial" w:hAnsi="Arial"/>
          <w:color w:val="3C3C3C"/>
          <w:sz w:val="22"/>
          <w:szCs w:val="22"/>
        </w:rPr>
        <w:t xml:space="preserve">as you invest in quality helmets, suits, boots, and electronics, confirm your gear coverage limits are adequate</w:t>
      </w:r>
    </w:p>
    <w:p>
      <w:pPr>
        <w:pStyle w:val="ListParagraph"/>
        <w:numPr>
          <w:ilvl w:val="0"/>
          <w:numId w:val="2"/>
        </w:numPr>
        <w:spacing w:after="60" w:before="60"/>
      </w:pPr>
      <w:r>
        <w:rPr>
          <w:rFonts w:ascii="Arial" w:cs="Arial" w:eastAsia="Arial" w:hAnsi="Arial"/>
          <w:b/>
          <w:bCs/>
          <w:color w:val="D4621A"/>
          <w:sz w:val="22"/>
          <w:szCs w:val="22"/>
        </w:rPr>
        <w:t xml:space="preserve">Reassess seasonal vs. year-round needs — </w:t>
      </w:r>
      <w:r>
        <w:rPr>
          <w:rFonts w:ascii="Arial" w:cs="Arial" w:eastAsia="Arial" w:hAnsi="Arial"/>
          <w:color w:val="3C3C3C"/>
          <w:sz w:val="22"/>
          <w:szCs w:val="22"/>
        </w:rPr>
        <w:t xml:space="preserve">if your riding season changes year to year, review lay-up options at each renewal to optimize coverage and cost</w:t>
      </w:r>
    </w:p>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8A6400" w:sz="18"/>
              <w:bottom w:val="none" w:color="FFFFFF" w:sz="0"/>
              <w:right w:val="none" w:color="FFFFFF" w:sz="0"/>
            </w:tcBorders>
            <w:shd w:fill="FFFBEE" w:val="clear"/>
            <w:tcMar>
              <w:top w:type="dxa" w:w="110"/>
              <w:left w:type="dxa" w:w="200"/>
              <w:bottom w:type="dxa" w:w="110"/>
              <w:right w:type="dxa" w:w="160"/>
            </w:tcMar>
          </w:tcPr>
          <w:p>
            <w:pPr>
              <w:spacing w:after="60" w:before="0"/>
            </w:pPr>
            <w:r>
              <w:rPr>
                <w:rFonts w:ascii="Arial" w:cs="Arial" w:eastAsia="Arial" w:hAnsi="Arial"/>
                <w:b/>
                <w:bCs/>
                <w:caps/>
                <w:color w:val="8A6400"/>
                <w:sz w:val="19"/>
                <w:szCs w:val="19"/>
              </w:rPr>
              <w:t xml:space="preserve">Multi-Bike Households</w:t>
            </w:r>
          </w:p>
          <w:p>
            <w:pPr>
              <w:spacing w:after="0" w:before="0"/>
            </w:pPr>
            <w:r>
              <w:rPr>
                <w:rFonts w:ascii="Arial" w:cs="Arial" w:eastAsia="Arial" w:hAnsi="Arial"/>
                <w:color w:val="4A3800"/>
                <w:sz w:val="20"/>
                <w:szCs w:val="20"/>
              </w:rPr>
              <w:t xml:space="preserve">Households with multiple motorcycles — or a combination of motorcycles, ATVs, and other powersports vehicles — may qualify for multi-vehicle discounts. Some specialty carriers offer comprehensive powersports umbrella programs that cover all off-road and on-road recreational vehicles under a single policy structure.</w:t>
            </w:r>
          </w:p>
        </w:tc>
      </w:tr>
    </w:tbl>
    <w:p>
      <w:pPr>
        <w:spacing w:after="0" w:before="12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single" w:color="D4621A" w:sz="18"/>
              <w:bottom w:val="none" w:color="FFFFFF" w:sz="0"/>
              <w:right w:val="none" w:color="FFFFFF" w:sz="0"/>
            </w:tcBorders>
            <w:shd w:fill="FDF4EE" w:val="clear"/>
            <w:tcMar>
              <w:top w:type="dxa" w:w="110"/>
              <w:left w:type="dxa" w:w="200"/>
              <w:bottom w:type="dxa" w:w="110"/>
              <w:right w:type="dxa" w:w="160"/>
            </w:tcMar>
          </w:tcPr>
          <w:p>
            <w:pPr>
              <w:spacing w:after="0" w:before="0"/>
            </w:pPr>
            <w:r>
              <w:rPr>
                <w:rFonts w:ascii="Arial" w:cs="Arial" w:eastAsia="Arial" w:hAnsi="Arial"/>
                <w:b/>
                <w:bCs/>
                <w:color w:val="C04E00"/>
                <w:sz w:val="20"/>
                <w:szCs w:val="20"/>
              </w:rPr>
              <w:t xml:space="preserve">Key Takeaway: </w:t>
            </w:r>
            <w:r>
              <w:rPr>
                <w:rFonts w:ascii="Arial" w:cs="Arial" w:eastAsia="Arial" w:hAnsi="Arial"/>
                <w:color w:val="3C3C3C"/>
                <w:sz w:val="20"/>
                <w:szCs w:val="20"/>
              </w:rPr>
              <w:t xml:space="preserve">Motorcycle insurance is a specialized but essential component of a complete personal insurance program. Its role is specific: to cover all the risks associated with motorcycle ownership and operation that your auto, homeowners, and health policies do not address. A well-structured program ensures there are no gaps between your policies — and no surprises after a loss.</w:t>
            </w:r>
          </w:p>
        </w:tc>
      </w:tr>
    </w:tbl>
    <w:p>
      <w:pPr>
        <w:spacing w:after="0" w:before="280"/>
      </w:pPr>
      <w:r>
        <w:rPr>
          <w:rFonts w:ascii="Arial" w:cs="Arial" w:eastAsia="Arial" w:hAnsi="Arial"/>
        </w:rP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Borders>
              <w:top w:val="none" w:color="FFFFFF" w:sz="0"/>
              <w:left w:val="none" w:color="FFFFFF" w:sz="0"/>
              <w:bottom w:val="none" w:color="FFFFFF" w:sz="0"/>
              <w:right w:val="none" w:color="FFFFFF" w:sz="0"/>
            </w:tcBorders>
            <w:shd w:fill="2C2C2C" w:val="clear"/>
            <w:tcMar>
              <w:top w:type="dxa" w:w="240"/>
              <w:left w:type="dxa" w:w="320"/>
              <w:bottom w:type="dxa" w:w="240"/>
              <w:right w:type="dxa" w:w="320"/>
            </w:tcMar>
          </w:tcPr>
          <w:p>
            <w:pPr>
              <w:spacing w:after="120" w:before="0"/>
            </w:pPr>
            <w:r>
              <w:rPr>
                <w:rFonts w:ascii="Arial" w:cs="Arial" w:eastAsia="Arial" w:hAnsi="Arial"/>
                <w:b/>
                <w:bCs/>
                <w:color w:val="FFFFFF"/>
                <w:sz w:val="30"/>
                <w:szCs w:val="30"/>
              </w:rPr>
              <w:t xml:space="preserve">Ride with Confidence. Ride with Coverage.</w:t>
            </w:r>
          </w:p>
          <w:p>
            <w:pPr>
              <w:spacing w:after="100" w:before="0"/>
            </w:pPr>
            <w:r>
              <w:rPr>
                <w:rFonts w:ascii="Arial" w:cs="Arial" w:eastAsia="Arial" w:hAnsi="Arial"/>
                <w:color w:val="F0C4A8"/>
                <w:sz w:val="22"/>
                <w:szCs w:val="22"/>
              </w:rPr>
              <w:t xml:space="preserve">The road ahead holds no guarantees — but the right motorcycle insurance policy means that whatever happens, you are financially protected. From your first ride to your ten-thousandth mile, Daly &amp; Alexander Insurance is here to help you find the right coverage for the way you ride.</w:t>
            </w:r>
          </w:p>
          <w:p>
            <w:pPr>
              <w:spacing w:after="0" w:before="0"/>
            </w:pPr>
            <w:r>
              <w:rPr>
                <w:rFonts w:ascii="Arial" w:cs="Arial" w:eastAsia="Arial" w:hAnsi="Arial"/>
                <w:b/>
                <w:bCs/>
                <w:color w:val="FFFFFF"/>
                <w:sz w:val="22"/>
                <w:szCs w:val="22"/>
              </w:rPr>
              <w:t xml:space="preserve">Contact Daly &amp; Alexander Insurance today at www.dalyandalexander.com</w:t>
            </w:r>
          </w:p>
        </w:tc>
      </w:tr>
    </w:tbl>
    <w:p>
      <w:pPr>
        <w:spacing w:after="0" w:before="200"/>
      </w:pPr>
      <w:r>
        <w:rPr>
          <w:rFonts w:ascii="Arial" w:cs="Arial" w:eastAsia="Arial" w:hAnsi="Arial"/>
        </w:rPr>
        <w:t xml:space="preserve"/>
      </w:r>
    </w:p>
    <w:p>
      <w:pPr>
        <w:pBdr>
          <w:top w:val="single" w:color="C8D0D8" w:sz="4" w:space="6"/>
        </w:pBdr>
        <w:spacing w:after="80" w:before="0"/>
      </w:pPr>
      <w:r>
        <w:rPr>
          <w:rFonts w:ascii="Arial" w:cs="Arial" w:eastAsia="Arial" w:hAnsi="Arial"/>
          <w:b/>
          <w:bCs/>
          <w:caps/>
          <w:color w:val="6A6A6A"/>
          <w:sz w:val="19"/>
          <w:szCs w:val="19"/>
        </w:rPr>
        <w:t xml:space="preserve">Disclaimer</w:t>
      </w:r>
    </w:p>
    <w:p>
      <w:pPr>
        <w:spacing w:after="120" w:before="0"/>
      </w:pPr>
      <w:r>
        <w:rPr>
          <w:rFonts w:ascii="Arial" w:cs="Arial" w:eastAsia="Arial" w:hAnsi="Arial"/>
          <w:color w:val="6A6A6A"/>
          <w:sz w:val="18"/>
          <w:szCs w:val="18"/>
        </w:rPr>
        <w:t xml:space="preserve">The information contained in this article is intended for general informational and educational purposes only and should not be construed as legal, financial, or insurance advice. State motorcycle insurance requirements, legal definitions, and coverage terms vary significantly and are subject to change. It is the sole responsibility of the reader to carefully review their individual insurance policy and applicable state laws to determine the exact scope of coverage and requirements applicable to their specific circumstances. Daly Insurance, Inc. and Daly &amp; Alexander Insurance make no representations or warranties of any kind regarding the completeness, accuracy, or reliability of any content published online or offline, and expressly disclaim all liability for any errors, omissions, or inaccuracies. Coverage availability, terms, and pricing are subject to underwriting approval and vary by carrier, state, and individual circumstance.</w:t>
      </w:r>
    </w:p>
    <w:p>
      <w:pPr>
        <w:spacing w:after="0" w:before="80"/>
        <w:jc w:val="center"/>
      </w:pPr>
      <w:r>
        <w:rPr>
          <w:rFonts w:ascii="Arial" w:cs="Arial" w:eastAsia="Arial" w:hAnsi="Arial"/>
          <w:i/>
          <w:iCs/>
          <w:color w:val="6A6A6A"/>
          <w:sz w:val="18"/>
          <w:szCs w:val="18"/>
        </w:rPr>
        <w:t xml:space="preserve">Daly Insurance, Inc.  |  Daly &amp; Alexander Insurance  |  www.dalyandalexander.com  |  Licensed Insurance Professionals</w:t>
      </w:r>
    </w:p>
    <w:sectPr>
      <w:headerReference w:type="default" r:id="rId7"/>
      <w:footerReference w:type="default" r:id="rId8"/>
      <w:pgSz w:w="12240" w:h="15840" w:orient="portrait"/>
      <w:pgMar w:top="1440" w:right="1260" w:bottom="1440" w:left="126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F0C4A8" w:sz="4" w:space="4"/>
      </w:pBdr>
      <w:spacing w:after="0" w:before="0"/>
    </w:pPr>
    <w:r>
      <w:rPr>
        <w:rFonts w:ascii="Arial" w:cs="Arial" w:eastAsia="Arial" w:hAnsi="Arial"/>
        <w:color w:val="6A6A6A"/>
        <w:sz w:val="16"/>
        <w:szCs w:val="16"/>
      </w:rPr>
      <w:t xml:space="preserve">Daly Insurance, Inc.  |  Daly &amp; Alexander Insurance  |  Licensed Insurance Professionals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F0C4A8" w:sz="4" w:space="6"/>
      </w:pBdr>
      <w:spacing w:after="0" w:before="0"/>
    </w:pPr>
    <w:r>
      <w:rPr>
        <w:rFonts w:ascii="Arial" w:cs="Arial" w:eastAsia="Arial" w:hAnsi="Arial"/>
        <w:b/>
        <w:bCs/>
        <w:color w:val="C04E00"/>
        <w:sz w:val="18"/>
        <w:szCs w:val="18"/>
      </w:rPr>
      <w:t xml:space="preserve">MOTORCYCLE INSURANCE GUIDE</w:t>
    </w:r>
    <w:r>
      <w:rPr>
        <w:rFonts w:ascii="Arial" w:cs="Arial" w:eastAsia="Arial" w:hAnsi="Arial"/>
        <w:color w:val="6A6A6A"/>
        <w:sz w:val="18"/>
        <w:szCs w:val="18"/>
      </w:rPr>
      <w:t xml:space="preserve">   |   Daly &amp; Alexander Insurance  |  www.dalyandalexander.com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60" w:hanging="28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20" w:before="360"/>
      <w:outlineLvl w:val="0"/>
    </w:pPr>
    <w:rPr>
      <w:rFonts w:ascii="Arial" w:cs="Arial" w:eastAsia="Arial" w:hAnsi="Arial"/>
      <w:b/>
      <w:bCs/>
      <w:color w:val="2C2C2C"/>
      <w:sz w:val="32"/>
      <w:szCs w:val="32"/>
    </w:rPr>
  </w:style>
  <w:style w:type="paragraph" w:styleId="Heading2">
    <w:name w:val="Heading 2"/>
    <w:basedOn w:val="Normal"/>
    <w:next w:val="Normal"/>
    <w:qFormat/>
    <w:pPr>
      <w:spacing w:after="80" w:before="240"/>
      <w:outlineLvl w:val="1"/>
    </w:pPr>
    <w:rPr>
      <w:rFonts w:ascii="Arial" w:cs="Arial" w:eastAsia="Arial" w:hAnsi="Arial"/>
      <w:b/>
      <w:bCs/>
      <w:color w:val="C04E00"/>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2026-05-06T04:03:03.760Z</dcterms:created>
  <dcterms:modified xsi:type="dcterms:W3CDTF">2026-05-06T04:03:03.780Z</dcterms:modified>
</cp:coreProperties>
</file>

<file path=docProps/custom.xml><?xml version="1.0" encoding="utf-8"?>
<Properties xmlns="http://schemas.openxmlformats.org/officeDocument/2006/custom-properties" xmlns:vt="http://schemas.openxmlformats.org/officeDocument/2006/docPropsVTypes"/>
</file>