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7D2840" w:sz="8" w:space="8"/>
        </w:pBdr>
        <w:spacing w:after="80" w:before="0"/>
        <w:jc w:val="center"/>
      </w:pPr>
      <w:r>
        <w:rPr>
          <w:rFonts w:ascii="Arial" w:cs="Arial" w:eastAsia="Arial" w:hAnsi="Arial"/>
          <w:b/>
          <w:bCs/>
          <w:color w:val="5C1A2E"/>
          <w:sz w:val="48"/>
          <w:szCs w:val="48"/>
        </w:rPr>
        <w:t xml:space="preserve">PERSONAL ARTICLES INSURANCE GUIDE</w:t>
      </w:r>
    </w:p>
    <w:p>
      <w:pPr>
        <w:spacing w:after="60" w:before="120"/>
        <w:jc w:val="center"/>
      </w:pPr>
      <w:r>
        <w:rPr>
          <w:rFonts w:ascii="Arial" w:cs="Arial" w:eastAsia="Arial" w:hAnsi="Arial"/>
          <w:i/>
          <w:iCs/>
          <w:color w:val="4A3F38"/>
          <w:sz w:val="26"/>
          <w:szCs w:val="26"/>
        </w:rPr>
        <w:t xml:space="preserve">Protecting Your Valuables: Coverage, Valuation &amp; Policy Options Explained</w:t>
      </w:r>
    </w:p>
    <w:p>
      <w:pPr>
        <w:spacing w:after="0" w:before="0"/>
        <w:jc w:val="center"/>
      </w:pPr>
      <w:r>
        <w:rPr>
          <w:rFonts w:ascii="Arial" w:cs="Arial" w:eastAsia="Arial" w:hAnsi="Arial"/>
          <w:color w:val="7A7068"/>
          <w:sz w:val="20"/>
          <w:szCs w:val="20"/>
        </w:rPr>
        <w:t xml:space="preserve">Daly &amp; Alexander Insurance  |  www.dalyandalexander.com</w:t>
      </w:r>
    </w:p>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7D2840" w:sz="18"/>
              <w:bottom w:val="none" w:color="FFFFFF" w:sz="0"/>
              <w:right w:val="none" w:color="FFFFFF" w:sz="0"/>
            </w:tcBorders>
            <w:shd w:fill="FAF0F3" w:val="clear"/>
            <w:tcMar>
              <w:top w:type="dxa" w:w="140"/>
              <w:left w:type="dxa" w:w="240"/>
              <w:bottom w:type="dxa" w:w="140"/>
              <w:right w:type="dxa" w:w="240"/>
            </w:tcMar>
          </w:tcPr>
          <w:p>
            <w:pPr>
              <w:spacing w:after="100" w:before="0"/>
            </w:pPr>
            <w:r>
              <w:rPr>
                <w:rFonts w:ascii="Arial" w:cs="Arial" w:eastAsia="Arial" w:hAnsi="Arial"/>
                <w:color w:val="4A3F38"/>
                <w:sz w:val="22"/>
                <w:szCs w:val="22"/>
              </w:rPr>
              <w:t xml:space="preserve">Your homeowners insurance policy protects your home and its contents — but for your most valuable possessions, that protection has significant limits. Jewelry, fine art, watches, collectibles, cameras, and musical instruments are routinely underinsured or excluded outright under standard homeowners policies.</w:t>
            </w:r>
          </w:p>
          <w:p>
            <w:pPr>
              <w:spacing w:after="0" w:before="0"/>
            </w:pPr>
            <w:r>
              <w:rPr>
                <w:rFonts w:ascii="Arial" w:cs="Arial" w:eastAsia="Arial" w:hAnsi="Arial"/>
                <w:color w:val="4A3F38"/>
                <w:sz w:val="22"/>
                <w:szCs w:val="22"/>
              </w:rPr>
              <w:t xml:space="preserve">Personal articles insurance fills that gap with dedicated, high-limit, flexible coverage tailored to your most prized possessions. This guide explains how it works, why it matters, and how to use it as part of a complete insurance program.</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5C1A2E" w:val="clear"/>
            <w:tcMar>
              <w:top w:type="dxa" w:w="160"/>
              <w:left w:type="dxa" w:w="240"/>
              <w:bottom w:type="dxa" w:w="160"/>
              <w:right w:type="dxa" w:w="240"/>
            </w:tcMar>
          </w:tcPr>
          <w:p>
            <w:pPr>
              <w:spacing w:after="0" w:before="0"/>
            </w:pPr>
            <w:r>
              <w:rPr>
                <w:rFonts w:ascii="Arial" w:cs="Arial" w:eastAsia="Arial" w:hAnsi="Arial"/>
                <w:b/>
                <w:bCs/>
                <w:color w:val="E8C4CE"/>
                <w:sz w:val="28"/>
                <w:szCs w:val="28"/>
              </w:rPr>
              <w:t xml:space="preserve">1.  </w:t>
            </w:r>
            <w:r>
              <w:rPr>
                <w:rFonts w:ascii="Arial" w:cs="Arial" w:eastAsia="Arial" w:hAnsi="Arial"/>
                <w:b/>
                <w:bCs/>
                <w:color w:val="FFFFFF"/>
                <w:sz w:val="28"/>
                <w:szCs w:val="28"/>
              </w:rPr>
              <w:t xml:space="preserve">What Personal Articles Insurance Is</w:t>
            </w:r>
          </w:p>
        </w:tc>
      </w:tr>
    </w:tbl>
    <w:p>
      <w:pPr>
        <w:spacing w:after="0" w:before="100"/>
      </w:pPr>
      <w:r>
        <w:rPr>
          <w:rFonts w:ascii="Arial" w:cs="Arial" w:eastAsia="Arial" w:hAnsi="Arial"/>
        </w:rPr>
        <w:t xml:space="preserve"/>
      </w:r>
    </w:p>
    <w:p>
      <w:pPr>
        <w:spacing w:after="110" w:before="80"/>
      </w:pPr>
      <w:r>
        <w:rPr>
          <w:rFonts w:ascii="Arial" w:cs="Arial" w:eastAsia="Arial" w:hAnsi="Arial"/>
          <w:color w:val="1E1A18"/>
          <w:sz w:val="22"/>
          <w:szCs w:val="22"/>
        </w:rPr>
        <w:t xml:space="preserve">Personal articles insurance is a specialized insurance coverage designed to protect high-value personal property items — such as jewelry, fine art, watches, furs, silverware, collectibles, musical instruments, cameras, and sporting equipment — on an individual, itemized basis. Unlike standard homeowners insurance, which covers personal property in broad categories subject to sublimits and exclusions, personal articles insurance provides comprehensive, item-specific protection with significantly higher coverage limits.</w:t>
      </w:r>
    </w:p>
    <w:p>
      <w:pPr>
        <w:spacing w:after="0" w:before="80"/>
      </w:pPr>
      <w:r>
        <w:rPr>
          <w:rFonts w:ascii="Arial" w:cs="Arial" w:eastAsia="Arial" w:hAnsi="Arial"/>
        </w:rPr>
        <w:t xml:space="preserve"/>
      </w:r>
    </w:p>
    <w:p>
      <w:pPr>
        <w:spacing w:after="110" w:before="80"/>
      </w:pPr>
      <w:r>
        <w:rPr>
          <w:rFonts w:ascii="Arial" w:cs="Arial" w:eastAsia="Arial" w:hAnsi="Arial"/>
          <w:color w:val="1E1A18"/>
          <w:sz w:val="22"/>
          <w:szCs w:val="22"/>
        </w:rPr>
        <w:t xml:space="preserve">The fundamental premise of personal articles insurance is that certain possessions are too valuable, too unique, or too important to be lumped into a generic personal property category. These items deserve their own dedicated coverage that reflects their true value, covers the full range of risks they face, and responds without the restrictions that apply under standard homeowners policies.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Common Items Covered</w:t>
            </w:r>
          </w:p>
          <w:p>
            <w:pPr>
              <w:spacing w:after="0" w:before="0"/>
            </w:pPr>
            <w:r>
              <w:rPr>
                <w:rFonts w:ascii="Arial" w:cs="Arial" w:eastAsia="Arial" w:hAnsi="Arial"/>
                <w:color w:val="4A3F38"/>
                <w:sz w:val="20"/>
                <w:szCs w:val="20"/>
              </w:rPr>
              <w:t xml:space="preserve">Jewelry and engagement rings, fine art and paintings, watches, furs, silverware and goldware, musical instruments, cameras and photography equipment, firearms, sports equipment, coins and stamps, wine collections, and collectibles.</w:t>
            </w:r>
          </w:p>
        </w:tc>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How It Works</w:t>
            </w:r>
          </w:p>
          <w:p>
            <w:pPr>
              <w:spacing w:after="0" w:before="0"/>
            </w:pPr>
            <w:r>
              <w:rPr>
                <w:rFonts w:ascii="Arial" w:cs="Arial" w:eastAsia="Arial" w:hAnsi="Arial"/>
                <w:color w:val="4A3F38"/>
                <w:sz w:val="20"/>
                <w:szCs w:val="20"/>
              </w:rPr>
              <w:t xml:space="preserve">Each item (or category of items) is individually listed — or “scheduled” — on the policy with its own insured value. When a covered loss occurs, the policy responds based on that specific item’s scheduled value rather than a generic personal property limit.</w:t>
            </w:r>
          </w:p>
        </w:tc>
      </w:tr>
      <w:tr>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Who Offers It</w:t>
            </w:r>
          </w:p>
          <w:p>
            <w:pPr>
              <w:spacing w:after="0" w:before="0"/>
            </w:pPr>
            <w:r>
              <w:rPr>
                <w:rFonts w:ascii="Arial" w:cs="Arial" w:eastAsia="Arial" w:hAnsi="Arial"/>
                <w:color w:val="4A3F38"/>
                <w:sz w:val="20"/>
                <w:szCs w:val="20"/>
              </w:rPr>
              <w:t xml:space="preserve">Personal articles insurance is available as a standalone policy through specialty insurers, as a floater endorsement attached to a homeowners policy, or as part of a comprehensive high-net-worth personal lines program.</w:t>
            </w:r>
          </w:p>
        </w:tc>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Why It Exists</w:t>
            </w:r>
          </w:p>
          <w:p>
            <w:pPr>
              <w:spacing w:after="0" w:before="0"/>
            </w:pPr>
            <w:r>
              <w:rPr>
                <w:rFonts w:ascii="Arial" w:cs="Arial" w:eastAsia="Arial" w:hAnsi="Arial"/>
                <w:color w:val="4A3F38"/>
                <w:sz w:val="20"/>
                <w:szCs w:val="20"/>
              </w:rPr>
              <w:t xml:space="preserve">Standard homeowners policies apply sublimits (often $1,500 to $5,000) to categories like jewelry and silverware, and they impose conditions and exclusions that make them poorly suited for high-value individual items.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7D2840" w:sz="18"/>
              <w:bottom w:val="none" w:color="FFFFFF" w:sz="0"/>
              <w:right w:val="none" w:color="FFFFFF" w:sz="0"/>
            </w:tcBorders>
            <w:shd w:fill="FAF0F3" w:val="clear"/>
            <w:tcMar>
              <w:top w:type="dxa" w:w="110"/>
              <w:left w:type="dxa" w:w="200"/>
              <w:bottom w:type="dxa" w:w="110"/>
              <w:right w:type="dxa" w:w="160"/>
            </w:tcMar>
          </w:tcPr>
          <w:p>
            <w:pPr>
              <w:spacing w:after="0" w:before="0"/>
            </w:pPr>
            <w:r>
              <w:rPr>
                <w:rFonts w:ascii="Arial" w:cs="Arial" w:eastAsia="Arial" w:hAnsi="Arial"/>
                <w:b/>
                <w:bCs/>
                <w:color w:val="5C1A2E"/>
                <w:sz w:val="20"/>
                <w:szCs w:val="20"/>
              </w:rPr>
              <w:t xml:space="preserve">Key Takeaway: </w:t>
            </w:r>
            <w:r>
              <w:rPr>
                <w:rFonts w:ascii="Arial" w:cs="Arial" w:eastAsia="Arial" w:hAnsi="Arial"/>
                <w:color w:val="4A3F38"/>
                <w:sz w:val="20"/>
                <w:szCs w:val="20"/>
              </w:rPr>
              <w:t xml:space="preserve">Personal articles insurance is not limited to the wealthy. Anyone who owns jewelry, a camera system, musical instruments, collectibles, or other items worth more than their homeowners sublimit should consider dedicated personal articles coverage.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5C1A2E" w:val="clear"/>
            <w:tcMar>
              <w:top w:type="dxa" w:w="160"/>
              <w:left w:type="dxa" w:w="240"/>
              <w:bottom w:type="dxa" w:w="160"/>
              <w:right w:type="dxa" w:w="240"/>
            </w:tcMar>
          </w:tcPr>
          <w:p>
            <w:pPr>
              <w:spacing w:after="0" w:before="0"/>
            </w:pPr>
            <w:r>
              <w:rPr>
                <w:rFonts w:ascii="Arial" w:cs="Arial" w:eastAsia="Arial" w:hAnsi="Arial"/>
                <w:b/>
                <w:bCs/>
                <w:color w:val="E8C4CE"/>
                <w:sz w:val="28"/>
                <w:szCs w:val="28"/>
              </w:rPr>
              <w:t xml:space="preserve">2.  </w:t>
            </w:r>
            <w:r>
              <w:rPr>
                <w:rFonts w:ascii="Arial" w:cs="Arial" w:eastAsia="Arial" w:hAnsi="Arial"/>
                <w:b/>
                <w:bCs/>
                <w:color w:val="FFFFFF"/>
                <w:sz w:val="28"/>
                <w:szCs w:val="28"/>
              </w:rPr>
              <w:t xml:space="preserve">How Personal Articles Insurance Differs from Homeowners Coverage</w:t>
            </w:r>
          </w:p>
        </w:tc>
      </w:tr>
    </w:tbl>
    <w:p>
      <w:pPr>
        <w:spacing w:after="0" w:before="100"/>
      </w:pPr>
      <w:r>
        <w:rPr>
          <w:rFonts w:ascii="Arial" w:cs="Arial" w:eastAsia="Arial" w:hAnsi="Arial"/>
        </w:rPr>
        <w:t xml:space="preserve"/>
      </w:r>
    </w:p>
    <w:p>
      <w:pPr>
        <w:spacing w:after="110" w:before="80"/>
      </w:pPr>
      <w:r>
        <w:rPr>
          <w:rFonts w:ascii="Arial" w:cs="Arial" w:eastAsia="Arial" w:hAnsi="Arial"/>
          <w:color w:val="1E1A18"/>
          <w:sz w:val="22"/>
          <w:szCs w:val="22"/>
        </w:rPr>
        <w:t xml:space="preserve">Standard homeowners insurance includes personal property coverage — but the protections it provides for high-value items are vastly different from what a dedicated personal articles policy offers. Understanding these differences is essential to knowing whether your most valuable possessions are truly protected.</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130"/>
        <w:gridCol w:w="3330"/>
      </w:tblGrid>
      <w:tr>
        <w:tc>
          <w:tcPr>
            <w:tcW w:type="dxa" w:w="2900"/>
            <w:tcBorders>
              <w:top w:val="none" w:color="FFFFFF" w:sz="0"/>
              <w:left w:val="none" w:color="FFFFFF" w:sz="0"/>
              <w:bottom w:val="none" w:color="FFFFFF" w:sz="0"/>
              <w:right w:val="none" w:color="FFFFFF" w:sz="0"/>
            </w:tcBorders>
            <w:shd w:fill="2C3A4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130"/>
            <w:tcBorders>
              <w:top w:val="none" w:color="FFFFFF" w:sz="0"/>
              <w:left w:val="none" w:color="FFFFFF" w:sz="0"/>
              <w:bottom w:val="none" w:color="FFFFFF" w:sz="0"/>
              <w:right w:val="none" w:color="FFFFFF" w:sz="0"/>
            </w:tcBorders>
            <w:shd w:fill="7D284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Homeowners Personal Property</w:t>
            </w:r>
          </w:p>
        </w:tc>
        <w:tc>
          <w:tcPr>
            <w:tcW w:type="dxa" w:w="3330"/>
            <w:tcBorders>
              <w:top w:val="none" w:color="FFFFFF" w:sz="0"/>
              <w:left w:val="none" w:color="FFFFFF" w:sz="0"/>
              <w:bottom w:val="none" w:color="FFFFFF" w:sz="0"/>
              <w:right w:val="none" w:color="FFFFFF" w:sz="0"/>
            </w:tcBorders>
            <w:shd w:fill="7D284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Personal Articles Insurance</w:t>
            </w:r>
          </w:p>
        </w:tc>
      </w:tr>
      <w:tr>
        <w:tc>
          <w:tcPr>
            <w:tcW w:type="dxa" w:w="290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Coverage basis</w:t>
            </w:r>
          </w:p>
        </w:tc>
        <w:tc>
          <w:tcPr>
            <w:tcW w:type="dxa" w:w="313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Broad categories with aggregate limits</w:t>
            </w:r>
          </w:p>
        </w:tc>
        <w:tc>
          <w:tcPr>
            <w:tcW w:type="dxa" w:w="333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Item-by-item scheduled coverage</w:t>
            </w:r>
          </w:p>
        </w:tc>
      </w:tr>
      <w:tr>
        <w:tc>
          <w:tcPr>
            <w:tcW w:type="dxa" w:w="290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Jewelry sublimit</w:t>
            </w:r>
          </w:p>
        </w:tc>
        <w:tc>
          <w:tcPr>
            <w:tcW w:type="dxa" w:w="313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Typically $1,500–$5,000 total</w:t>
            </w:r>
          </w:p>
        </w:tc>
        <w:tc>
          <w:tcPr>
            <w:tcW w:type="dxa" w:w="333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Full appraised value per item</w:t>
            </w:r>
          </w:p>
        </w:tc>
      </w:tr>
      <w:tr>
        <w:tc>
          <w:tcPr>
            <w:tcW w:type="dxa" w:w="290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Silverware sublimit</w:t>
            </w:r>
          </w:p>
        </w:tc>
        <w:tc>
          <w:tcPr>
            <w:tcW w:type="dxa" w:w="313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Typically $2,500–$5,000</w:t>
            </w:r>
          </w:p>
        </w:tc>
        <w:tc>
          <w:tcPr>
            <w:tcW w:type="dxa" w:w="333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Full scheduled value</w:t>
            </w:r>
          </w:p>
        </w:tc>
      </w:tr>
      <w:tr>
        <w:tc>
          <w:tcPr>
            <w:tcW w:type="dxa" w:w="290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Fine art coverage</w:t>
            </w:r>
          </w:p>
        </w:tc>
        <w:tc>
          <w:tcPr>
            <w:tcW w:type="dxa" w:w="313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Limited; often excluded</w:t>
            </w:r>
          </w:p>
        </w:tc>
        <w:tc>
          <w:tcPr>
            <w:tcW w:type="dxa" w:w="333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Scheduled at appraised value</w:t>
            </w:r>
          </w:p>
        </w:tc>
      </w:tr>
      <w:tr>
        <w:tc>
          <w:tcPr>
            <w:tcW w:type="dxa" w:w="290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Deductible</w:t>
            </w:r>
          </w:p>
        </w:tc>
        <w:tc>
          <w:tcPr>
            <w:tcW w:type="dxa" w:w="313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Standard deductible applies</w:t>
            </w:r>
          </w:p>
        </w:tc>
        <w:tc>
          <w:tcPr>
            <w:tcW w:type="dxa" w:w="333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Often zero deductible</w:t>
            </w:r>
          </w:p>
        </w:tc>
      </w:tr>
      <w:tr>
        <w:tc>
          <w:tcPr>
            <w:tcW w:type="dxa" w:w="290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Mysterious disappearance</w:t>
            </w:r>
          </w:p>
        </w:tc>
        <w:tc>
          <w:tcPr>
            <w:tcW w:type="dxa" w:w="313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Generally excluded</w:t>
            </w:r>
          </w:p>
        </w:tc>
        <w:tc>
          <w:tcPr>
            <w:tcW w:type="dxa" w:w="333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Typically covered</w:t>
            </w:r>
          </w:p>
        </w:tc>
      </w:tr>
      <w:tr>
        <w:tc>
          <w:tcPr>
            <w:tcW w:type="dxa" w:w="290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Worldwide coverage</w:t>
            </w:r>
          </w:p>
        </w:tc>
        <w:tc>
          <w:tcPr>
            <w:tcW w:type="dxa" w:w="313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Usually limited to premises</w:t>
            </w:r>
          </w:p>
        </w:tc>
        <w:tc>
          <w:tcPr>
            <w:tcW w:type="dxa" w:w="333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Full worldwide coverage standard</w:t>
            </w:r>
          </w:p>
        </w:tc>
      </w:tr>
      <w:tr>
        <w:tc>
          <w:tcPr>
            <w:tcW w:type="dxa" w:w="290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Agreed value</w:t>
            </w:r>
          </w:p>
        </w:tc>
        <w:tc>
          <w:tcPr>
            <w:tcW w:type="dxa" w:w="313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Actual cash value (depreciated)</w:t>
            </w:r>
          </w:p>
        </w:tc>
        <w:tc>
          <w:tcPr>
            <w:tcW w:type="dxa" w:w="333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Agreed/scheduled value available</w:t>
            </w:r>
          </w:p>
        </w:tc>
      </w:tr>
      <w:tr>
        <w:tc>
          <w:tcPr>
            <w:tcW w:type="dxa" w:w="290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Perils covered</w:t>
            </w:r>
          </w:p>
        </w:tc>
        <w:tc>
          <w:tcPr>
            <w:tcW w:type="dxa" w:w="313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Named perils or open perils (with gaps)</w:t>
            </w:r>
          </w:p>
        </w:tc>
        <w:tc>
          <w:tcPr>
            <w:tcW w:type="dxa" w:w="333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Broad open perils / all-risk</w:t>
            </w:r>
          </w:p>
        </w:tc>
      </w:tr>
      <w:tr>
        <w:tc>
          <w:tcPr>
            <w:tcW w:type="dxa" w:w="290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Proof of loss</w:t>
            </w:r>
          </w:p>
        </w:tc>
        <w:tc>
          <w:tcPr>
            <w:tcW w:type="dxa" w:w="313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May require police report for theft</w:t>
            </w:r>
          </w:p>
        </w:tc>
        <w:tc>
          <w:tcPr>
            <w:tcW w:type="dxa" w:w="333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Streamlined claims process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The Sublimit Trap</w:t>
            </w:r>
          </w:p>
          <w:p>
            <w:pPr>
              <w:spacing w:after="0" w:before="0"/>
            </w:pPr>
            <w:r>
              <w:rPr>
                <w:rFonts w:ascii="Arial" w:cs="Arial" w:eastAsia="Arial" w:hAnsi="Arial"/>
                <w:color w:val="5A1010"/>
                <w:sz w:val="20"/>
                <w:szCs w:val="20"/>
              </w:rPr>
              <w:t xml:space="preserve">The most common and costly misconception in personal property insurance is assuming that homeowners coverage is sufficient for valuable items. A $15,000 engagement ring protected by a homeowners policy with a $2,500 jewelry sublimit leaves $12,500 completely uninsured. This gap is invisible until a loss occurs.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7D2840" w:sz="18"/>
              <w:bottom w:val="none" w:color="FFFFFF" w:sz="0"/>
              <w:right w:val="none" w:color="FFFFFF" w:sz="0"/>
            </w:tcBorders>
            <w:shd w:fill="FAF0F3" w:val="clear"/>
            <w:tcMar>
              <w:top w:type="dxa" w:w="110"/>
              <w:left w:type="dxa" w:w="200"/>
              <w:bottom w:type="dxa" w:w="110"/>
              <w:right w:type="dxa" w:w="160"/>
            </w:tcMar>
          </w:tcPr>
          <w:p>
            <w:pPr>
              <w:spacing w:after="0" w:before="0"/>
            </w:pPr>
            <w:r>
              <w:rPr>
                <w:rFonts w:ascii="Arial" w:cs="Arial" w:eastAsia="Arial" w:hAnsi="Arial"/>
                <w:b/>
                <w:bCs/>
                <w:color w:val="5C1A2E"/>
                <w:sz w:val="20"/>
                <w:szCs w:val="20"/>
              </w:rPr>
              <w:t xml:space="preserve">Key Takeaway: </w:t>
            </w:r>
            <w:r>
              <w:rPr>
                <w:rFonts w:ascii="Arial" w:cs="Arial" w:eastAsia="Arial" w:hAnsi="Arial"/>
                <w:color w:val="4A3F38"/>
                <w:sz w:val="20"/>
                <w:szCs w:val="20"/>
              </w:rPr>
              <w:t xml:space="preserve">Personal articles insurance does not replace your homeowners policy — it supplements it. Your homeowners policy covers the broad range of personal property in your home; personal articles insurance covers your highest-value individual items with the precision and limits they deserve.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5C1A2E" w:val="clear"/>
            <w:tcMar>
              <w:top w:type="dxa" w:w="160"/>
              <w:left w:type="dxa" w:w="240"/>
              <w:bottom w:type="dxa" w:w="160"/>
              <w:right w:type="dxa" w:w="240"/>
            </w:tcMar>
          </w:tcPr>
          <w:p>
            <w:pPr>
              <w:spacing w:after="0" w:before="0"/>
            </w:pPr>
            <w:r>
              <w:rPr>
                <w:rFonts w:ascii="Arial" w:cs="Arial" w:eastAsia="Arial" w:hAnsi="Arial"/>
                <w:b/>
                <w:bCs/>
                <w:color w:val="E8C4CE"/>
                <w:sz w:val="28"/>
                <w:szCs w:val="28"/>
              </w:rPr>
              <w:t xml:space="preserve">3.  </w:t>
            </w:r>
            <w:r>
              <w:rPr>
                <w:rFonts w:ascii="Arial" w:cs="Arial" w:eastAsia="Arial" w:hAnsi="Arial"/>
                <w:b/>
                <w:bCs/>
                <w:color w:val="FFFFFF"/>
                <w:sz w:val="28"/>
                <w:szCs w:val="28"/>
              </w:rPr>
              <w:t xml:space="preserve">Why Scheduled Personal Property Coverage Is Needed</w:t>
            </w:r>
          </w:p>
        </w:tc>
      </w:tr>
    </w:tbl>
    <w:p>
      <w:pPr>
        <w:spacing w:after="0" w:before="100"/>
      </w:pPr>
      <w:r>
        <w:rPr>
          <w:rFonts w:ascii="Arial" w:cs="Arial" w:eastAsia="Arial" w:hAnsi="Arial"/>
        </w:rPr>
        <w:t xml:space="preserve"/>
      </w:r>
    </w:p>
    <w:p>
      <w:pPr>
        <w:spacing w:after="110" w:before="80"/>
      </w:pPr>
      <w:r>
        <w:rPr>
          <w:rFonts w:ascii="Arial" w:cs="Arial" w:eastAsia="Arial" w:hAnsi="Arial"/>
          <w:color w:val="1E1A18"/>
          <w:sz w:val="22"/>
          <w:szCs w:val="22"/>
        </w:rPr>
        <w:t xml:space="preserve">Scheduling personal property means listing each high-value item individually on an insurance policy with its own insured value, description, and coverage terms. It is the foundation of personal articles insurance and the mechanism that transforms generic property coverage into precision protection for specific items.</w:t>
      </w:r>
    </w:p>
    <w:p>
      <w:pPr>
        <w:spacing w:after="0" w:before="100"/>
      </w:pPr>
      <w:r>
        <w:rPr>
          <w:rFonts w:ascii="Arial" w:cs="Arial" w:eastAsia="Arial" w:hAnsi="Arial"/>
        </w:rPr>
        <w:t xml:space="preserve"/>
      </w:r>
    </w:p>
    <w:p>
      <w:pPr>
        <w:pBdr>
          <w:bottom w:val="single" w:color="E8C4CE" w:sz="4" w:space="4"/>
        </w:pBdr>
        <w:spacing w:after="80" w:before="220"/>
      </w:pPr>
      <w:r>
        <w:rPr>
          <w:rFonts w:ascii="Arial" w:cs="Arial" w:eastAsia="Arial" w:hAnsi="Arial"/>
          <w:b/>
          <w:bCs/>
          <w:color w:val="5C1A2E"/>
          <w:sz w:val="24"/>
          <w:szCs w:val="24"/>
        </w:rPr>
        <w:t xml:space="preserve">The Case for Scheduling</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7D2840"/>
          <w:sz w:val="22"/>
          <w:szCs w:val="22"/>
        </w:rPr>
        <w:t xml:space="preserve">Sublimits leave you underinsured — </w:t>
      </w:r>
      <w:r>
        <w:rPr>
          <w:rFonts w:ascii="Arial" w:cs="Arial" w:eastAsia="Arial" w:hAnsi="Arial"/>
          <w:color w:val="4A3F38"/>
          <w:sz w:val="22"/>
          <w:szCs w:val="22"/>
        </w:rPr>
        <w:t xml:space="preserve">homeowners policies cap coverage for entire categories of items at amounts that bear no relationship to the actual value of those items in a modern household</w:t>
      </w:r>
    </w:p>
    <w:p>
      <w:pPr>
        <w:pStyle w:val="ListParagraph"/>
        <w:numPr>
          <w:ilvl w:val="0"/>
          <w:numId w:val="2"/>
        </w:numPr>
        <w:spacing w:after="60" w:before="60"/>
      </w:pPr>
      <w:r>
        <w:rPr>
          <w:rFonts w:ascii="Arial" w:cs="Arial" w:eastAsia="Arial" w:hAnsi="Arial"/>
          <w:b/>
          <w:bCs/>
          <w:color w:val="7D2840"/>
          <w:sz w:val="22"/>
          <w:szCs w:val="22"/>
        </w:rPr>
        <w:t xml:space="preserve">Items appreciate in value — </w:t>
      </w:r>
      <w:r>
        <w:rPr>
          <w:rFonts w:ascii="Arial" w:cs="Arial" w:eastAsia="Arial" w:hAnsi="Arial"/>
          <w:color w:val="4A3F38"/>
          <w:sz w:val="22"/>
          <w:szCs w:val="22"/>
        </w:rPr>
        <w:t xml:space="preserve">jewelry, fine art, collectibles, and watches frequently increase in value over time. Homeowners policies using actual cash value will not keep pace with appreciation — scheduled coverage with updated appraisals will</w:t>
      </w:r>
    </w:p>
    <w:p>
      <w:pPr>
        <w:pStyle w:val="ListParagraph"/>
        <w:numPr>
          <w:ilvl w:val="0"/>
          <w:numId w:val="2"/>
        </w:numPr>
        <w:spacing w:after="60" w:before="60"/>
      </w:pPr>
      <w:r>
        <w:rPr>
          <w:rFonts w:ascii="Arial" w:cs="Arial" w:eastAsia="Arial" w:hAnsi="Arial"/>
          <w:b/>
          <w:bCs/>
          <w:color w:val="7D2840"/>
          <w:sz w:val="22"/>
          <w:szCs w:val="22"/>
        </w:rPr>
        <w:t xml:space="preserve">Theft is the most common loss for valuables — </w:t>
      </w:r>
      <w:r>
        <w:rPr>
          <w:rFonts w:ascii="Arial" w:cs="Arial" w:eastAsia="Arial" w:hAnsi="Arial"/>
          <w:color w:val="4A3F38"/>
          <w:sz w:val="22"/>
          <w:szCs w:val="22"/>
        </w:rPr>
        <w:t xml:space="preserve">jewelry theft alone accounts for billions in losses annually. Standard homeowners theft coverage for jewelry is capped at the sublimit regardless of actual value</w:t>
      </w:r>
    </w:p>
    <w:p>
      <w:pPr>
        <w:pStyle w:val="ListParagraph"/>
        <w:numPr>
          <w:ilvl w:val="0"/>
          <w:numId w:val="2"/>
        </w:numPr>
        <w:spacing w:after="60" w:before="60"/>
      </w:pPr>
      <w:r>
        <w:rPr>
          <w:rFonts w:ascii="Arial" w:cs="Arial" w:eastAsia="Arial" w:hAnsi="Arial"/>
          <w:b/>
          <w:bCs/>
          <w:color w:val="7D2840"/>
          <w:sz w:val="22"/>
          <w:szCs w:val="22"/>
        </w:rPr>
        <w:t xml:space="preserve">Mysterious disappearance is a real risk — </w:t>
      </w:r>
      <w:r>
        <w:rPr>
          <w:rFonts w:ascii="Arial" w:cs="Arial" w:eastAsia="Arial" w:hAnsi="Arial"/>
          <w:color w:val="4A3F38"/>
          <w:sz w:val="22"/>
          <w:szCs w:val="22"/>
        </w:rPr>
        <w:t xml:space="preserve">a ring slipped off while washing dishes, a watch misplaced during travel — these losses are common and are typically excluded by homeowners policies but covered under scheduled personal articles coverage</w:t>
      </w:r>
    </w:p>
    <w:p>
      <w:pPr>
        <w:pStyle w:val="ListParagraph"/>
        <w:numPr>
          <w:ilvl w:val="0"/>
          <w:numId w:val="2"/>
        </w:numPr>
        <w:spacing w:after="60" w:before="60"/>
      </w:pPr>
      <w:r>
        <w:rPr>
          <w:rFonts w:ascii="Arial" w:cs="Arial" w:eastAsia="Arial" w:hAnsi="Arial"/>
          <w:b/>
          <w:bCs/>
          <w:color w:val="7D2840"/>
          <w:sz w:val="22"/>
          <w:szCs w:val="22"/>
        </w:rPr>
        <w:t xml:space="preserve">Pair and set coverage matters — </w:t>
      </w:r>
      <w:r>
        <w:rPr>
          <w:rFonts w:ascii="Arial" w:cs="Arial" w:eastAsia="Arial" w:hAnsi="Arial"/>
          <w:color w:val="4A3F38"/>
          <w:sz w:val="22"/>
          <w:szCs w:val="22"/>
        </w:rPr>
        <w:t xml:space="preserve">if one earring from a pair is lost, the full value of the set may be at risk. Scheduled coverage addresses pair and set situations; standard homeowners policies often do not</w:t>
      </w:r>
    </w:p>
    <w:p>
      <w:pPr>
        <w:pStyle w:val="ListParagraph"/>
        <w:numPr>
          <w:ilvl w:val="0"/>
          <w:numId w:val="2"/>
        </w:numPr>
        <w:spacing w:after="60" w:before="60"/>
      </w:pPr>
      <w:r>
        <w:rPr>
          <w:rFonts w:ascii="Arial" w:cs="Arial" w:eastAsia="Arial" w:hAnsi="Arial"/>
          <w:b/>
          <w:bCs/>
          <w:color w:val="7D2840"/>
          <w:sz w:val="22"/>
          <w:szCs w:val="22"/>
        </w:rPr>
        <w:t xml:space="preserve">Proof of ownership and value is established — </w:t>
      </w:r>
      <w:r>
        <w:rPr>
          <w:rFonts w:ascii="Arial" w:cs="Arial" w:eastAsia="Arial" w:hAnsi="Arial"/>
          <w:color w:val="4A3F38"/>
          <w:sz w:val="22"/>
          <w:szCs w:val="22"/>
        </w:rPr>
        <w:t xml:space="preserve">scheduling an item with a current appraisal creates a documented record that eliminates disputes about value at claim time</w:t>
      </w:r>
    </w:p>
    <w:p>
      <w:pPr>
        <w:spacing w:after="0" w:before="100"/>
      </w:pPr>
      <w:r>
        <w:rPr>
          <w:rFonts w:ascii="Arial" w:cs="Arial" w:eastAsia="Arial" w:hAnsi="Arial"/>
        </w:rPr>
        <w:t xml:space="preserve"/>
      </w:r>
    </w:p>
    <w:p>
      <w:pPr>
        <w:pBdr>
          <w:bottom w:val="single" w:color="E8C4CE" w:sz="4" w:space="4"/>
        </w:pBdr>
        <w:spacing w:after="80" w:before="220"/>
      </w:pPr>
      <w:r>
        <w:rPr>
          <w:rFonts w:ascii="Arial" w:cs="Arial" w:eastAsia="Arial" w:hAnsi="Arial"/>
          <w:b/>
          <w:bCs/>
          <w:color w:val="5C1A2E"/>
          <w:sz w:val="24"/>
          <w:szCs w:val="24"/>
        </w:rPr>
        <w:t xml:space="preserve">Most Commonly Scheduled Items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7D2840"/>
          <w:sz w:val="22"/>
          <w:szCs w:val="22"/>
        </w:rPr>
        <w:t xml:space="preserve">Engagement rings and wedding bands — </w:t>
      </w:r>
      <w:r>
        <w:rPr>
          <w:rFonts w:ascii="Arial" w:cs="Arial" w:eastAsia="Arial" w:hAnsi="Arial"/>
          <w:color w:val="4A3F38"/>
          <w:sz w:val="22"/>
          <w:szCs w:val="22"/>
        </w:rPr>
        <w:t xml:space="preserve">the single most commonly scheduled item category; replacement costs frequently exceed $5,000–$50,000+</w:t>
      </w:r>
    </w:p>
    <w:p>
      <w:pPr>
        <w:pStyle w:val="ListParagraph"/>
        <w:numPr>
          <w:ilvl w:val="0"/>
          <w:numId w:val="2"/>
        </w:numPr>
        <w:spacing w:after="60" w:before="60"/>
      </w:pPr>
      <w:r>
        <w:rPr>
          <w:rFonts w:ascii="Arial" w:cs="Arial" w:eastAsia="Arial" w:hAnsi="Arial"/>
          <w:b/>
          <w:bCs/>
          <w:color w:val="7D2840"/>
          <w:sz w:val="22"/>
          <w:szCs w:val="22"/>
        </w:rPr>
        <w:t xml:space="preserve">Fine jewelry and watches — </w:t>
      </w:r>
      <w:r>
        <w:rPr>
          <w:rFonts w:ascii="Arial" w:cs="Arial" w:eastAsia="Arial" w:hAnsi="Arial"/>
          <w:color w:val="4A3F38"/>
          <w:sz w:val="22"/>
          <w:szCs w:val="22"/>
        </w:rPr>
        <w:t xml:space="preserve">necklaces, bracelets, earrings, luxury watches, and heirloom pieces</w:t>
      </w:r>
    </w:p>
    <w:p>
      <w:pPr>
        <w:pStyle w:val="ListParagraph"/>
        <w:numPr>
          <w:ilvl w:val="0"/>
          <w:numId w:val="2"/>
        </w:numPr>
        <w:spacing w:after="60" w:before="60"/>
      </w:pPr>
      <w:r>
        <w:rPr>
          <w:rFonts w:ascii="Arial" w:cs="Arial" w:eastAsia="Arial" w:hAnsi="Arial"/>
          <w:b/>
          <w:bCs/>
          <w:color w:val="7D2840"/>
          <w:sz w:val="22"/>
          <w:szCs w:val="22"/>
        </w:rPr>
        <w:t xml:space="preserve">Fine art and paintings — </w:t>
      </w:r>
      <w:r>
        <w:rPr>
          <w:rFonts w:ascii="Arial" w:cs="Arial" w:eastAsia="Arial" w:hAnsi="Arial"/>
          <w:color w:val="4A3F38"/>
          <w:sz w:val="22"/>
          <w:szCs w:val="22"/>
        </w:rPr>
        <w:t xml:space="preserve">original works, limited edition prints, sculptures, and mixed media</w:t>
      </w:r>
    </w:p>
    <w:p>
      <w:pPr>
        <w:pStyle w:val="ListParagraph"/>
        <w:numPr>
          <w:ilvl w:val="0"/>
          <w:numId w:val="2"/>
        </w:numPr>
        <w:spacing w:after="60" w:before="60"/>
      </w:pPr>
      <w:r>
        <w:rPr>
          <w:rFonts w:ascii="Arial" w:cs="Arial" w:eastAsia="Arial" w:hAnsi="Arial"/>
          <w:b/>
          <w:bCs/>
          <w:color w:val="7D2840"/>
          <w:sz w:val="22"/>
          <w:szCs w:val="22"/>
        </w:rPr>
        <w:t xml:space="preserve">Musical instruments — </w:t>
      </w:r>
      <w:r>
        <w:rPr>
          <w:rFonts w:ascii="Arial" w:cs="Arial" w:eastAsia="Arial" w:hAnsi="Arial"/>
          <w:color w:val="4A3F38"/>
          <w:sz w:val="22"/>
          <w:szCs w:val="22"/>
        </w:rPr>
        <w:t xml:space="preserve">violins, guitars, pianos, and other professional-grade instruments</w:t>
      </w:r>
    </w:p>
    <w:p>
      <w:pPr>
        <w:pStyle w:val="ListParagraph"/>
        <w:numPr>
          <w:ilvl w:val="0"/>
          <w:numId w:val="2"/>
        </w:numPr>
        <w:spacing w:after="60" w:before="60"/>
      </w:pPr>
      <w:r>
        <w:rPr>
          <w:rFonts w:ascii="Arial" w:cs="Arial" w:eastAsia="Arial" w:hAnsi="Arial"/>
          <w:b/>
          <w:bCs/>
          <w:color w:val="7D2840"/>
          <w:sz w:val="22"/>
          <w:szCs w:val="22"/>
        </w:rPr>
        <w:t xml:space="preserve">Camera and photography equipment — </w:t>
      </w:r>
      <w:r>
        <w:rPr>
          <w:rFonts w:ascii="Arial" w:cs="Arial" w:eastAsia="Arial" w:hAnsi="Arial"/>
          <w:color w:val="4A3F38"/>
          <w:sz w:val="22"/>
          <w:szCs w:val="22"/>
        </w:rPr>
        <w:t xml:space="preserve">professional camera bodies, lenses, and accessories</w:t>
      </w:r>
    </w:p>
    <w:p>
      <w:pPr>
        <w:pStyle w:val="ListParagraph"/>
        <w:numPr>
          <w:ilvl w:val="0"/>
          <w:numId w:val="2"/>
        </w:numPr>
        <w:spacing w:after="60" w:before="60"/>
      </w:pPr>
      <w:r>
        <w:rPr>
          <w:rFonts w:ascii="Arial" w:cs="Arial" w:eastAsia="Arial" w:hAnsi="Arial"/>
          <w:b/>
          <w:bCs/>
          <w:color w:val="7D2840"/>
          <w:sz w:val="22"/>
          <w:szCs w:val="22"/>
        </w:rPr>
        <w:t xml:space="preserve">Firearms and gun collections — </w:t>
      </w:r>
      <w:r>
        <w:rPr>
          <w:rFonts w:ascii="Arial" w:cs="Arial" w:eastAsia="Arial" w:hAnsi="Arial"/>
          <w:color w:val="4A3F38"/>
          <w:sz w:val="22"/>
          <w:szCs w:val="22"/>
        </w:rPr>
        <w:t xml:space="preserve">handguns, rifles, and collector firearms</w:t>
      </w:r>
    </w:p>
    <w:p>
      <w:pPr>
        <w:pStyle w:val="ListParagraph"/>
        <w:numPr>
          <w:ilvl w:val="0"/>
          <w:numId w:val="2"/>
        </w:numPr>
        <w:spacing w:after="60" w:before="60"/>
      </w:pPr>
      <w:r>
        <w:rPr>
          <w:rFonts w:ascii="Arial" w:cs="Arial" w:eastAsia="Arial" w:hAnsi="Arial"/>
          <w:b/>
          <w:bCs/>
          <w:color w:val="7D2840"/>
          <w:sz w:val="22"/>
          <w:szCs w:val="22"/>
        </w:rPr>
        <w:t xml:space="preserve">Sports equipment — </w:t>
      </w:r>
      <w:r>
        <w:rPr>
          <w:rFonts w:ascii="Arial" w:cs="Arial" w:eastAsia="Arial" w:hAnsi="Arial"/>
          <w:color w:val="4A3F38"/>
          <w:sz w:val="22"/>
          <w:szCs w:val="22"/>
        </w:rPr>
        <w:t xml:space="preserve">golf clubs, bicycles, skiing equipment, and other high-value gear</w:t>
      </w:r>
    </w:p>
    <w:p>
      <w:pPr>
        <w:pStyle w:val="ListParagraph"/>
        <w:numPr>
          <w:ilvl w:val="0"/>
          <w:numId w:val="2"/>
        </w:numPr>
        <w:spacing w:after="60" w:before="60"/>
      </w:pPr>
      <w:r>
        <w:rPr>
          <w:rFonts w:ascii="Arial" w:cs="Arial" w:eastAsia="Arial" w:hAnsi="Arial"/>
          <w:b/>
          <w:bCs/>
          <w:color w:val="7D2840"/>
          <w:sz w:val="22"/>
          <w:szCs w:val="22"/>
        </w:rPr>
        <w:t xml:space="preserve">Collectibles — </w:t>
      </w:r>
      <w:r>
        <w:rPr>
          <w:rFonts w:ascii="Arial" w:cs="Arial" w:eastAsia="Arial" w:hAnsi="Arial"/>
          <w:color w:val="4A3F38"/>
          <w:sz w:val="22"/>
          <w:szCs w:val="22"/>
        </w:rPr>
        <w:t xml:space="preserve">coins, stamps, wine, memorabilia, and other collections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F5C5C" w:sz="18"/>
              <w:bottom w:val="none" w:color="FFFFFF" w:sz="0"/>
              <w:right w:val="none" w:color="FFFFFF" w:sz="0"/>
            </w:tcBorders>
            <w:shd w:fill="EAF5F5" w:val="clear"/>
            <w:tcMar>
              <w:top w:type="dxa" w:w="110"/>
              <w:left w:type="dxa" w:w="200"/>
              <w:bottom w:type="dxa" w:w="110"/>
              <w:right w:type="dxa" w:w="160"/>
            </w:tcMar>
          </w:tcPr>
          <w:p>
            <w:pPr>
              <w:spacing w:after="60" w:before="0"/>
            </w:pPr>
            <w:r>
              <w:rPr>
                <w:rFonts w:ascii="Arial" w:cs="Arial" w:eastAsia="Arial" w:hAnsi="Arial"/>
                <w:b/>
                <w:bCs/>
                <w:caps/>
                <w:color w:val="0F5C5C"/>
                <w:sz w:val="19"/>
                <w:szCs w:val="19"/>
              </w:rPr>
              <w:t xml:space="preserve">Real-World Example</w:t>
            </w:r>
          </w:p>
          <w:p>
            <w:pPr>
              <w:spacing w:after="0" w:before="0"/>
            </w:pPr>
            <w:r>
              <w:rPr>
                <w:rFonts w:ascii="Arial" w:cs="Arial" w:eastAsia="Arial" w:hAnsi="Arial"/>
                <w:color w:val="0A3030"/>
                <w:sz w:val="20"/>
                <w:szCs w:val="20"/>
              </w:rPr>
              <w:t xml:space="preserve">A homeowner’s engagement ring is stolen during a burglary. Current replacement cost: $22,000. Homeowners jewelry sublimit: $2,500. Uninsured loss without scheduling: $19,500. With a personal articles policy covering the ring at its appraised value of $22,000, the full replacement cost is covered — often with no deductible.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5C1A2E" w:val="clear"/>
            <w:tcMar>
              <w:top w:type="dxa" w:w="160"/>
              <w:left w:type="dxa" w:w="240"/>
              <w:bottom w:type="dxa" w:w="160"/>
              <w:right w:type="dxa" w:w="240"/>
            </w:tcMar>
          </w:tcPr>
          <w:p>
            <w:pPr>
              <w:spacing w:after="0" w:before="0"/>
            </w:pPr>
            <w:r>
              <w:rPr>
                <w:rFonts w:ascii="Arial" w:cs="Arial" w:eastAsia="Arial" w:hAnsi="Arial"/>
                <w:b/>
                <w:bCs/>
                <w:color w:val="E8C4CE"/>
                <w:sz w:val="28"/>
                <w:szCs w:val="28"/>
              </w:rPr>
              <w:t xml:space="preserve">4.  </w:t>
            </w:r>
            <w:r>
              <w:rPr>
                <w:rFonts w:ascii="Arial" w:cs="Arial" w:eastAsia="Arial" w:hAnsi="Arial"/>
                <w:b/>
                <w:bCs/>
                <w:color w:val="FFFFFF"/>
                <w:sz w:val="28"/>
                <w:szCs w:val="28"/>
              </w:rPr>
              <w:t xml:space="preserve">Difference Between Blanket and Scheduled Coverage</w:t>
            </w:r>
          </w:p>
        </w:tc>
      </w:tr>
    </w:tbl>
    <w:p>
      <w:pPr>
        <w:spacing w:after="0" w:before="100"/>
      </w:pPr>
      <w:r>
        <w:rPr>
          <w:rFonts w:ascii="Arial" w:cs="Arial" w:eastAsia="Arial" w:hAnsi="Arial"/>
        </w:rPr>
        <w:t xml:space="preserve"/>
      </w:r>
    </w:p>
    <w:p>
      <w:pPr>
        <w:spacing w:after="110" w:before="80"/>
      </w:pPr>
      <w:r>
        <w:rPr>
          <w:rFonts w:ascii="Arial" w:cs="Arial" w:eastAsia="Arial" w:hAnsi="Arial"/>
          <w:color w:val="1E1A18"/>
          <w:sz w:val="22"/>
          <w:szCs w:val="22"/>
        </w:rPr>
        <w:t xml:space="preserve">Within personal articles and personal property insurance, coverage can be structured in two fundamentally different ways: as blanket coverage — a single limit that applies to an entire category of items — or as scheduled coverage, where each item is individually listed with its own specific limit. Understanding which structure is appropriate for your situation is an important step in designing the right coverage program.</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Blanket Coverage</w:t>
            </w:r>
          </w:p>
          <w:p>
            <w:pPr>
              <w:spacing w:after="0" w:before="0"/>
            </w:pPr>
            <w:r>
              <w:rPr>
                <w:rFonts w:ascii="Arial" w:cs="Arial" w:eastAsia="Arial" w:hAnsi="Arial"/>
                <w:color w:val="4A3F38"/>
                <w:sz w:val="20"/>
                <w:szCs w:val="20"/>
              </w:rPr>
              <w:t xml:space="preserve">A single aggregate limit that applies to an entire category of items — such as all jewelry, all fine art, or all silverware — without listing individual items. The blanket limit is the maximum the policy will pay for all items in that category combined.</w:t>
            </w:r>
          </w:p>
        </w:tc>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Scheduled Coverage</w:t>
            </w:r>
          </w:p>
          <w:p>
            <w:pPr>
              <w:spacing w:after="0" w:before="0"/>
            </w:pPr>
            <w:r>
              <w:rPr>
                <w:rFonts w:ascii="Arial" w:cs="Arial" w:eastAsia="Arial" w:hAnsi="Arial"/>
                <w:color w:val="4A3F38"/>
                <w:sz w:val="20"/>
                <w:szCs w:val="20"/>
              </w:rPr>
              <w:t xml:space="preserve">Each individual item is separately listed (scheduled) on the policy with its own insured value and description. The policy pays up to the scheduled value for that specific item — regardless of what other items in the category may be worth.</w:t>
            </w:r>
          </w:p>
        </w:tc>
      </w:tr>
      <w:tr>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Blanket Advantages</w:t>
            </w:r>
          </w:p>
          <w:p>
            <w:pPr>
              <w:spacing w:after="0" w:before="0"/>
            </w:pPr>
            <w:r>
              <w:rPr>
                <w:rFonts w:ascii="Arial" w:cs="Arial" w:eastAsia="Arial" w:hAnsi="Arial"/>
                <w:color w:val="4A3F38"/>
                <w:sz w:val="20"/>
                <w:szCs w:val="20"/>
              </w:rPr>
              <w:t xml:space="preserve">Simpler to manage — no need to individually appraise every item; convenient for large collections of lower-value items; easier to add new items without amending the policy.</w:t>
            </w:r>
          </w:p>
        </w:tc>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Scheduled Advantages</w:t>
            </w:r>
          </w:p>
          <w:p>
            <w:pPr>
              <w:spacing w:after="0" w:before="0"/>
            </w:pPr>
            <w:r>
              <w:rPr>
                <w:rFonts w:ascii="Arial" w:cs="Arial" w:eastAsia="Arial" w:hAnsi="Arial"/>
                <w:color w:val="4A3F38"/>
                <w:sz w:val="20"/>
                <w:szCs w:val="20"/>
              </w:rPr>
              <w:t xml:space="preserve">Precise protection for high-value individual items; agreed value settlement eliminates disputes; no concern about category aggregate limits being shared across multiple items; cleaner claims process.</w:t>
            </w:r>
          </w:p>
        </w:tc>
      </w:tr>
    </w:tbl>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3080"/>
        <w:gridCol w:w="3480"/>
      </w:tblGrid>
      <w:tr>
        <w:tc>
          <w:tcPr>
            <w:tcW w:type="dxa" w:w="2800"/>
            <w:tcBorders>
              <w:top w:val="none" w:color="FFFFFF" w:sz="0"/>
              <w:left w:val="none" w:color="FFFFFF" w:sz="0"/>
              <w:bottom w:val="none" w:color="FFFFFF" w:sz="0"/>
              <w:right w:val="none" w:color="FFFFFF" w:sz="0"/>
            </w:tcBorders>
            <w:shd w:fill="2C3A4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Factor</w:t>
            </w:r>
          </w:p>
        </w:tc>
        <w:tc>
          <w:tcPr>
            <w:tcW w:type="dxa" w:w="3080"/>
            <w:tcBorders>
              <w:top w:val="none" w:color="FFFFFF" w:sz="0"/>
              <w:left w:val="none" w:color="FFFFFF" w:sz="0"/>
              <w:bottom w:val="none" w:color="FFFFFF" w:sz="0"/>
              <w:right w:val="none" w:color="FFFFFF" w:sz="0"/>
            </w:tcBorders>
            <w:shd w:fill="7D284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Blanket Coverage</w:t>
            </w:r>
          </w:p>
        </w:tc>
        <w:tc>
          <w:tcPr>
            <w:tcW w:type="dxa" w:w="3480"/>
            <w:tcBorders>
              <w:top w:val="none" w:color="FFFFFF" w:sz="0"/>
              <w:left w:val="none" w:color="FFFFFF" w:sz="0"/>
              <w:bottom w:val="none" w:color="FFFFFF" w:sz="0"/>
              <w:right w:val="none" w:color="FFFFFF" w:sz="0"/>
            </w:tcBorders>
            <w:shd w:fill="7D284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Scheduled Coverage</w:t>
            </w:r>
          </w:p>
        </w:tc>
      </w:tr>
      <w:tr>
        <w:tc>
          <w:tcPr>
            <w:tcW w:type="dxa" w:w="280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How limits work</w:t>
            </w:r>
          </w:p>
        </w:tc>
        <w:tc>
          <w:tcPr>
            <w:tcW w:type="dxa" w:w="308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One shared limit for all items in category</w:t>
            </w:r>
          </w:p>
        </w:tc>
        <w:tc>
          <w:tcPr>
            <w:tcW w:type="dxa" w:w="348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Individual limit per item</w:t>
            </w:r>
          </w:p>
        </w:tc>
      </w:tr>
      <w:tr>
        <w:tc>
          <w:tcPr>
            <w:tcW w:type="dxa" w:w="280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Appraisals required</w:t>
            </w:r>
          </w:p>
        </w:tc>
        <w:tc>
          <w:tcPr>
            <w:tcW w:type="dxa" w:w="308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Generally not required</w:t>
            </w:r>
          </w:p>
        </w:tc>
        <w:tc>
          <w:tcPr>
            <w:tcW w:type="dxa" w:w="348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Required for high-value items</w:t>
            </w:r>
          </w:p>
        </w:tc>
      </w:tr>
      <w:tr>
        <w:tc>
          <w:tcPr>
            <w:tcW w:type="dxa" w:w="280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Best for</w:t>
            </w:r>
          </w:p>
        </w:tc>
        <w:tc>
          <w:tcPr>
            <w:tcW w:type="dxa" w:w="308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Collections of lower-value similar items</w:t>
            </w:r>
          </w:p>
        </w:tc>
        <w:tc>
          <w:tcPr>
            <w:tcW w:type="dxa" w:w="348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Individual high-value items</w:t>
            </w:r>
          </w:p>
        </w:tc>
      </w:tr>
      <w:tr>
        <w:tc>
          <w:tcPr>
            <w:tcW w:type="dxa" w:w="280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Claims settlement</w:t>
            </w:r>
          </w:p>
        </w:tc>
        <w:tc>
          <w:tcPr>
            <w:tcW w:type="dxa" w:w="308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Subject to per-item sublimits</w:t>
            </w:r>
          </w:p>
        </w:tc>
        <w:tc>
          <w:tcPr>
            <w:tcW w:type="dxa" w:w="348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Pays to full scheduled value</w:t>
            </w:r>
          </w:p>
        </w:tc>
      </w:tr>
      <w:tr>
        <w:tc>
          <w:tcPr>
            <w:tcW w:type="dxa" w:w="280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Adding new items</w:t>
            </w:r>
          </w:p>
        </w:tc>
        <w:tc>
          <w:tcPr>
            <w:tcW w:type="dxa" w:w="308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Automatic up to blanket limit</w:t>
            </w:r>
          </w:p>
        </w:tc>
        <w:tc>
          <w:tcPr>
            <w:tcW w:type="dxa" w:w="348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Must schedule each new item</w:t>
            </w:r>
          </w:p>
        </w:tc>
      </w:tr>
      <w:tr>
        <w:tc>
          <w:tcPr>
            <w:tcW w:type="dxa" w:w="280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Documentation needed</w:t>
            </w:r>
          </w:p>
        </w:tc>
        <w:tc>
          <w:tcPr>
            <w:tcW w:type="dxa" w:w="308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Minimal</w:t>
            </w:r>
          </w:p>
        </w:tc>
        <w:tc>
          <w:tcPr>
            <w:tcW w:type="dxa" w:w="348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Appraisal and description required</w:t>
            </w:r>
          </w:p>
        </w:tc>
      </w:tr>
      <w:tr>
        <w:tc>
          <w:tcPr>
            <w:tcW w:type="dxa" w:w="280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Premium</w:t>
            </w:r>
          </w:p>
        </w:tc>
        <w:tc>
          <w:tcPr>
            <w:tcW w:type="dxa" w:w="308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Generally lower</w:t>
            </w:r>
          </w:p>
        </w:tc>
        <w:tc>
          <w:tcPr>
            <w:tcW w:type="dxa" w:w="348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Generally higher (broader protection)</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860B" w:sz="18"/>
              <w:bottom w:val="none" w:color="FFFFFF" w:sz="0"/>
              <w:right w:val="none" w:color="FFFFFF" w:sz="0"/>
            </w:tcBorders>
            <w:shd w:fill="FFFBEE" w:val="clear"/>
            <w:tcMar>
              <w:top w:type="dxa" w:w="110"/>
              <w:left w:type="dxa" w:w="200"/>
              <w:bottom w:type="dxa" w:w="110"/>
              <w:right w:type="dxa" w:w="160"/>
            </w:tcMar>
          </w:tcPr>
          <w:p>
            <w:pPr>
              <w:spacing w:after="60" w:before="0"/>
            </w:pPr>
            <w:r>
              <w:rPr>
                <w:rFonts w:ascii="Arial" w:cs="Arial" w:eastAsia="Arial" w:hAnsi="Arial"/>
                <w:b/>
                <w:bCs/>
                <w:caps/>
                <w:color w:val="8A6400"/>
                <w:sz w:val="19"/>
                <w:szCs w:val="19"/>
              </w:rPr>
              <w:t xml:space="preserve">The Best Approach for Most Collectors</w:t>
            </w:r>
          </w:p>
          <w:p>
            <w:pPr>
              <w:spacing w:after="0" w:before="0"/>
            </w:pPr>
            <w:r>
              <w:rPr>
                <w:rFonts w:ascii="Arial" w:cs="Arial" w:eastAsia="Arial" w:hAnsi="Arial"/>
                <w:color w:val="4A3800"/>
                <w:sz w:val="20"/>
                <w:szCs w:val="20"/>
              </w:rPr>
              <w:t xml:space="preserve">Many personal articles policies use a hybrid approach: blanket coverage for lower-value items within a collection, and scheduled coverage for the highest-value individual pieces. This balances administrative simplicity with precise protection where it matters most.</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7D2840" w:sz="18"/>
              <w:bottom w:val="none" w:color="FFFFFF" w:sz="0"/>
              <w:right w:val="none" w:color="FFFFFF" w:sz="0"/>
            </w:tcBorders>
            <w:shd w:fill="FAF0F3" w:val="clear"/>
            <w:tcMar>
              <w:top w:type="dxa" w:w="110"/>
              <w:left w:type="dxa" w:w="200"/>
              <w:bottom w:type="dxa" w:w="110"/>
              <w:right w:type="dxa" w:w="160"/>
            </w:tcMar>
          </w:tcPr>
          <w:p>
            <w:pPr>
              <w:spacing w:after="0" w:before="0"/>
            </w:pPr>
            <w:r>
              <w:rPr>
                <w:rFonts w:ascii="Arial" w:cs="Arial" w:eastAsia="Arial" w:hAnsi="Arial"/>
                <w:b/>
                <w:bCs/>
                <w:color w:val="5C1A2E"/>
                <w:sz w:val="20"/>
                <w:szCs w:val="20"/>
              </w:rPr>
              <w:t xml:space="preserve">Key Takeaway: </w:t>
            </w:r>
            <w:r>
              <w:rPr>
                <w:rFonts w:ascii="Arial" w:cs="Arial" w:eastAsia="Arial" w:hAnsi="Arial"/>
                <w:color w:val="4A3F38"/>
                <w:sz w:val="20"/>
                <w:szCs w:val="20"/>
              </w:rPr>
              <w:t xml:space="preserve">For any item with a replacement cost greater than $5,000 — or any item of significant sentimental value — scheduled coverage is almost always the right choice. The additional administrative effort of obtaining an appraisal is far outweighed by the certainty of full-value protection at claim time.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5C1A2E" w:val="clear"/>
            <w:tcMar>
              <w:top w:type="dxa" w:w="160"/>
              <w:left w:type="dxa" w:w="240"/>
              <w:bottom w:type="dxa" w:w="160"/>
              <w:right w:type="dxa" w:w="240"/>
            </w:tcMar>
          </w:tcPr>
          <w:p>
            <w:pPr>
              <w:spacing w:after="0" w:before="0"/>
            </w:pPr>
            <w:r>
              <w:rPr>
                <w:rFonts w:ascii="Arial" w:cs="Arial" w:eastAsia="Arial" w:hAnsi="Arial"/>
                <w:b/>
                <w:bCs/>
                <w:color w:val="E8C4CE"/>
                <w:sz w:val="28"/>
                <w:szCs w:val="28"/>
              </w:rPr>
              <w:t xml:space="preserve">5.  </w:t>
            </w:r>
            <w:r>
              <w:rPr>
                <w:rFonts w:ascii="Arial" w:cs="Arial" w:eastAsia="Arial" w:hAnsi="Arial"/>
                <w:b/>
                <w:bCs/>
                <w:color w:val="FFFFFF"/>
                <w:sz w:val="28"/>
                <w:szCs w:val="28"/>
              </w:rPr>
              <w:t xml:space="preserve">Personal Articles Floater vs. Inland Marine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E1A18"/>
          <w:sz w:val="22"/>
          <w:szCs w:val="22"/>
        </w:rPr>
        <w:t xml:space="preserve">The terms “personal articles floater” and “inland marine insurance” are closely related and often used interchangeably in the personal lines insurance market. Understanding their relationship helps clarify what type of policy you are purchasing and what it actually covers.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Inland Marine Insurance</w:t>
            </w:r>
          </w:p>
          <w:p>
            <w:pPr>
              <w:spacing w:after="0" w:before="0"/>
            </w:pPr>
            <w:r>
              <w:rPr>
                <w:rFonts w:ascii="Arial" w:cs="Arial" w:eastAsia="Arial" w:hAnsi="Arial"/>
                <w:color w:val="4A3F38"/>
                <w:sz w:val="20"/>
                <w:szCs w:val="20"/>
              </w:rPr>
              <w:t xml:space="preserve">A broad class of insurance that covers property in transit and property that is mobile in nature — items that “flow” across geographic boundaries rather than staying fixed in one location. The term originates from 19th-century marine insurance extended to cover cargo on inland rivers.</w:t>
            </w:r>
          </w:p>
        </w:tc>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Personal Articles Floater</w:t>
            </w:r>
          </w:p>
          <w:p>
            <w:pPr>
              <w:spacing w:after="0" w:before="0"/>
            </w:pPr>
            <w:r>
              <w:rPr>
                <w:rFonts w:ascii="Arial" w:cs="Arial" w:eastAsia="Arial" w:hAnsi="Arial"/>
                <w:color w:val="4A3F38"/>
                <w:sz w:val="20"/>
                <w:szCs w:val="20"/>
              </w:rPr>
              <w:t xml:space="preserve">A specific personal lines inland marine product designed to cover high-value personal property items owned by individuals. The word “floater” reflects the fact that the coverage travels with the item — it provides protection wherever the item is located, not just at the insured premises.</w:t>
            </w:r>
          </w:p>
        </w:tc>
      </w:tr>
      <w:tr>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The Relationship</w:t>
            </w:r>
          </w:p>
          <w:p>
            <w:pPr>
              <w:spacing w:after="0" w:before="0"/>
            </w:pPr>
            <w:r>
              <w:rPr>
                <w:rFonts w:ascii="Arial" w:cs="Arial" w:eastAsia="Arial" w:hAnsi="Arial"/>
                <w:color w:val="4A3F38"/>
                <w:sz w:val="20"/>
                <w:szCs w:val="20"/>
              </w:rPr>
              <w:t xml:space="preserve">A personal articles floater IS a form of inland marine insurance. Inland marine is the broader insurance class; personal articles floater is the specific consumer-facing product within that class designed for personal valuables.</w:t>
            </w:r>
          </w:p>
        </w:tc>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Other Inland Marine Products</w:t>
            </w:r>
          </w:p>
          <w:p>
            <w:pPr>
              <w:spacing w:after="0" w:before="0"/>
            </w:pPr>
            <w:r>
              <w:rPr>
                <w:rFonts w:ascii="Arial" w:cs="Arial" w:eastAsia="Arial" w:hAnsi="Arial"/>
                <w:color w:val="4A3F38"/>
                <w:sz w:val="20"/>
                <w:szCs w:val="20"/>
              </w:rPr>
              <w:t xml:space="preserve">Inland marine also includes contractor’s equipment floaters, installation floaters, fine art dealer policies, camera floaters for professionals, musical instrument policies for touring musicians, and many other specialty commercial coverages.</w:t>
            </w:r>
          </w:p>
        </w:tc>
      </w:tr>
    </w:tbl>
    <w:p>
      <w:pPr>
        <w:spacing w:after="0" w:before="100"/>
      </w:pPr>
      <w:r>
        <w:rPr>
          <w:rFonts w:ascii="Arial" w:cs="Arial" w:eastAsia="Arial" w:hAnsi="Arial"/>
        </w:rPr>
        <w:t xml:space="preserve"/>
      </w:r>
    </w:p>
    <w:p>
      <w:pPr>
        <w:pBdr>
          <w:bottom w:val="single" w:color="E8C4CE" w:sz="4" w:space="4"/>
        </w:pBdr>
        <w:spacing w:after="80" w:before="220"/>
      </w:pPr>
      <w:r>
        <w:rPr>
          <w:rFonts w:ascii="Arial" w:cs="Arial" w:eastAsia="Arial" w:hAnsi="Arial"/>
          <w:b/>
          <w:bCs/>
          <w:color w:val="5C1A2E"/>
          <w:sz w:val="24"/>
          <w:szCs w:val="24"/>
        </w:rPr>
        <w:t xml:space="preserve">Why “Floater” Is the Right Name</w:t>
      </w:r>
    </w:p>
    <w:p>
      <w:pPr>
        <w:spacing w:after="110" w:before="80"/>
      </w:pPr>
      <w:r>
        <w:rPr>
          <w:rFonts w:ascii="Arial" w:cs="Arial" w:eastAsia="Arial" w:hAnsi="Arial"/>
          <w:color w:val="1E1A18"/>
          <w:sz w:val="22"/>
          <w:szCs w:val="22"/>
        </w:rPr>
        <w:t xml:space="preserve">The floater concept reflects one of the most important characteristics of personal articles insurance: the coverage follows the item, not the location. A diamond ring is covered whether it is on your finger at a restaurant, in your suitcase on an international flight, at a jeweler for resizing, or stored in a safe deposit box. This mobility of coverage is what makes personal articles insurance fundamentally different from standard property coverage, which is typically tied to a specific premises.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860B" w:sz="18"/>
              <w:bottom w:val="none" w:color="FFFFFF" w:sz="0"/>
              <w:right w:val="none" w:color="FFFFFF" w:sz="0"/>
            </w:tcBorders>
            <w:shd w:fill="FFFBEE" w:val="clear"/>
            <w:tcMar>
              <w:top w:type="dxa" w:w="110"/>
              <w:left w:type="dxa" w:w="200"/>
              <w:bottom w:type="dxa" w:w="110"/>
              <w:right w:type="dxa" w:w="160"/>
            </w:tcMar>
          </w:tcPr>
          <w:p>
            <w:pPr>
              <w:spacing w:after="60" w:before="0"/>
            </w:pPr>
            <w:r>
              <w:rPr>
                <w:rFonts w:ascii="Arial" w:cs="Arial" w:eastAsia="Arial" w:hAnsi="Arial"/>
                <w:b/>
                <w:bCs/>
                <w:caps/>
                <w:color w:val="8A6400"/>
                <w:sz w:val="19"/>
                <w:szCs w:val="19"/>
              </w:rPr>
              <w:t xml:space="preserve">Commercial vs. Personal Inland Marine</w:t>
            </w:r>
          </w:p>
          <w:p>
            <w:pPr>
              <w:spacing w:after="0" w:before="0"/>
            </w:pPr>
            <w:r>
              <w:rPr>
                <w:rFonts w:ascii="Arial" w:cs="Arial" w:eastAsia="Arial" w:hAnsi="Arial"/>
                <w:color w:val="4A3800"/>
                <w:sz w:val="20"/>
                <w:szCs w:val="20"/>
              </w:rPr>
              <w:t xml:space="preserve">If you use valuable items in connection with a business — such as professional photography equipment, musical instruments used for paid performances, or tools of a trade — a personal articles floater may not cover those items for business use. A commercial inland marine policy or a business owners policy endorsement may be required.</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7D2840" w:sz="18"/>
              <w:bottom w:val="none" w:color="FFFFFF" w:sz="0"/>
              <w:right w:val="none" w:color="FFFFFF" w:sz="0"/>
            </w:tcBorders>
            <w:shd w:fill="FAF0F3" w:val="clear"/>
            <w:tcMar>
              <w:top w:type="dxa" w:w="110"/>
              <w:left w:type="dxa" w:w="200"/>
              <w:bottom w:type="dxa" w:w="110"/>
              <w:right w:type="dxa" w:w="160"/>
            </w:tcMar>
          </w:tcPr>
          <w:p>
            <w:pPr>
              <w:spacing w:after="0" w:before="0"/>
            </w:pPr>
            <w:r>
              <w:rPr>
                <w:rFonts w:ascii="Arial" w:cs="Arial" w:eastAsia="Arial" w:hAnsi="Arial"/>
                <w:b/>
                <w:bCs/>
                <w:color w:val="5C1A2E"/>
                <w:sz w:val="20"/>
                <w:szCs w:val="20"/>
              </w:rPr>
              <w:t xml:space="preserve">Key Takeaway: </w:t>
            </w:r>
            <w:r>
              <w:rPr>
                <w:rFonts w:ascii="Arial" w:cs="Arial" w:eastAsia="Arial" w:hAnsi="Arial"/>
                <w:color w:val="4A3F38"/>
                <w:sz w:val="20"/>
                <w:szCs w:val="20"/>
              </w:rPr>
              <w:t xml:space="preserve">When your insurance agent or policy uses the term “floater,” it is referring to the portability of coverage. Your personal articles coverage floats with your possessions everywhere they go — at home, in transit, on vacation, or abroad.</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5C1A2E" w:val="clear"/>
            <w:tcMar>
              <w:top w:type="dxa" w:w="160"/>
              <w:left w:type="dxa" w:w="240"/>
              <w:bottom w:type="dxa" w:w="160"/>
              <w:right w:type="dxa" w:w="240"/>
            </w:tcMar>
          </w:tcPr>
          <w:p>
            <w:pPr>
              <w:spacing w:after="0" w:before="0"/>
            </w:pPr>
            <w:r>
              <w:rPr>
                <w:rFonts w:ascii="Arial" w:cs="Arial" w:eastAsia="Arial" w:hAnsi="Arial"/>
                <w:b/>
                <w:bCs/>
                <w:color w:val="E8C4CE"/>
                <w:sz w:val="28"/>
                <w:szCs w:val="28"/>
              </w:rPr>
              <w:t xml:space="preserve">6.  </w:t>
            </w:r>
            <w:r>
              <w:rPr>
                <w:rFonts w:ascii="Arial" w:cs="Arial" w:eastAsia="Arial" w:hAnsi="Arial"/>
                <w:b/>
                <w:bCs/>
                <w:color w:val="FFFFFF"/>
                <w:sz w:val="28"/>
                <w:szCs w:val="28"/>
              </w:rPr>
              <w:t xml:space="preserve">Standalone Personal Articles Policy vs. Homeowners Endorsement</w:t>
            </w:r>
          </w:p>
        </w:tc>
      </w:tr>
    </w:tbl>
    <w:p>
      <w:pPr>
        <w:spacing w:after="0" w:before="100"/>
      </w:pPr>
      <w:r>
        <w:rPr>
          <w:rFonts w:ascii="Arial" w:cs="Arial" w:eastAsia="Arial" w:hAnsi="Arial"/>
        </w:rPr>
        <w:t xml:space="preserve"/>
      </w:r>
    </w:p>
    <w:p>
      <w:pPr>
        <w:spacing w:after="110" w:before="80"/>
      </w:pPr>
      <w:r>
        <w:rPr>
          <w:rFonts w:ascii="Arial" w:cs="Arial" w:eastAsia="Arial" w:hAnsi="Arial"/>
          <w:color w:val="1E1A18"/>
          <w:sz w:val="22"/>
          <w:szCs w:val="22"/>
        </w:rPr>
        <w:t xml:space="preserve">Personal articles coverage can be structured in two primary ways: as a standalone policy — an independent insurance contract dedicated entirely to your scheduled valuables — or as a scheduled personal property endorsement attached to your existing homeowners policy. Each approach has distinct advantages and is appropriate for different situations.</w:t>
      </w:r>
    </w:p>
    <w:p>
      <w:pPr>
        <w:spacing w:after="0" w:before="100"/>
      </w:pPr>
      <w:r>
        <w:rPr>
          <w:rFonts w:ascii="Arial" w:cs="Arial" w:eastAsia="Arial" w:hAnsi="Arial"/>
        </w:rPr>
        <w:t xml:space="preserve"/>
      </w:r>
    </w:p>
    <w:p>
      <w:pPr>
        <w:pBdr>
          <w:bottom w:val="single" w:color="E8C4CE" w:sz="4" w:space="4"/>
        </w:pBdr>
        <w:spacing w:after="80" w:before="220"/>
      </w:pPr>
      <w:r>
        <w:rPr>
          <w:rFonts w:ascii="Arial" w:cs="Arial" w:eastAsia="Arial" w:hAnsi="Arial"/>
          <w:b/>
          <w:bCs/>
          <w:color w:val="5C1A2E"/>
          <w:sz w:val="24"/>
          <w:szCs w:val="24"/>
        </w:rPr>
        <w:t xml:space="preserve">Standalone Personal Articles Policy</w:t>
      </w:r>
    </w:p>
    <w:p>
      <w:pPr>
        <w:spacing w:after="110" w:before="80"/>
      </w:pPr>
      <w:r>
        <w:rPr>
          <w:rFonts w:ascii="Arial" w:cs="Arial" w:eastAsia="Arial" w:hAnsi="Arial"/>
          <w:color w:val="1E1A18"/>
          <w:sz w:val="22"/>
          <w:szCs w:val="22"/>
        </w:rPr>
        <w:t xml:space="preserve">A standalone personal articles policy is an independent insurance contract issued separately from your homeowners coverage. It has its own policy number, declarations page, premium, and renewal date. Standalone policies are typically issued through specialty insurers or high-net-worth programs that focus on valuable personal property.</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Advantages</w:t>
            </w:r>
          </w:p>
          <w:p>
            <w:pPr>
              <w:spacing w:after="0" w:before="0"/>
            </w:pPr>
            <w:r>
              <w:rPr>
                <w:rFonts w:ascii="Arial" w:cs="Arial" w:eastAsia="Arial" w:hAnsi="Arial"/>
                <w:color w:val="4A3F38"/>
                <w:sz w:val="20"/>
                <w:szCs w:val="20"/>
              </w:rPr>
              <w:t xml:space="preserve">Not subject to homeowners policy conditions or exclusions; higher coverage limits available; broader coverage terms; separate claims process that does not affect homeowners loss history; can be placed with a carrier specializing in valuable items; portable if you change homeowners carriers.</w:t>
            </w:r>
          </w:p>
        </w:tc>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Disadvantages</w:t>
            </w:r>
          </w:p>
          <w:p>
            <w:pPr>
              <w:spacing w:after="0" w:before="0"/>
            </w:pPr>
            <w:r>
              <w:rPr>
                <w:rFonts w:ascii="Arial" w:cs="Arial" w:eastAsia="Arial" w:hAnsi="Arial"/>
                <w:color w:val="4A3F38"/>
                <w:sz w:val="20"/>
                <w:szCs w:val="20"/>
              </w:rPr>
              <w:t xml:space="preserve">Separate policy to manage and renew; separate premium payment; may require a minimum total insured value; slightly more administrative complexity than an endorsement.</w:t>
            </w:r>
          </w:p>
        </w:tc>
      </w:tr>
    </w:tbl>
    <w:p>
      <w:pPr>
        <w:spacing w:after="0" w:before="100"/>
      </w:pPr>
      <w:r>
        <w:rPr>
          <w:rFonts w:ascii="Arial" w:cs="Arial" w:eastAsia="Arial" w:hAnsi="Arial"/>
        </w:rPr>
        <w:t xml:space="preserve"/>
      </w:r>
    </w:p>
    <w:p>
      <w:pPr>
        <w:pBdr>
          <w:bottom w:val="single" w:color="E8C4CE" w:sz="4" w:space="4"/>
        </w:pBdr>
        <w:spacing w:after="80" w:before="220"/>
      </w:pPr>
      <w:r>
        <w:rPr>
          <w:rFonts w:ascii="Arial" w:cs="Arial" w:eastAsia="Arial" w:hAnsi="Arial"/>
          <w:b/>
          <w:bCs/>
          <w:color w:val="5C1A2E"/>
          <w:sz w:val="24"/>
          <w:szCs w:val="24"/>
        </w:rPr>
        <w:t xml:space="preserve">Homeowners Scheduled Personal Property Endorsement</w:t>
      </w:r>
    </w:p>
    <w:p>
      <w:pPr>
        <w:spacing w:after="110" w:before="80"/>
      </w:pPr>
      <w:r>
        <w:rPr>
          <w:rFonts w:ascii="Arial" w:cs="Arial" w:eastAsia="Arial" w:hAnsi="Arial"/>
          <w:color w:val="1E1A18"/>
          <w:sz w:val="22"/>
          <w:szCs w:val="22"/>
        </w:rPr>
        <w:t xml:space="preserve">A scheduled personal property endorsement is an addition to your existing homeowners policy that lists specific high-value items with individual limits. It modifies the homeowners policy to provide item-specific coverage beyond the standard sublimits.</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Advantages</w:t>
            </w:r>
          </w:p>
          <w:p>
            <w:pPr>
              <w:spacing w:after="0" w:before="0"/>
            </w:pPr>
            <w:r>
              <w:rPr>
                <w:rFonts w:ascii="Arial" w:cs="Arial" w:eastAsia="Arial" w:hAnsi="Arial"/>
                <w:color w:val="4A3F38"/>
                <w:sz w:val="20"/>
                <w:szCs w:val="20"/>
              </w:rPr>
              <w:t xml:space="preserve">Simpler administration — one policy and one premium; unified renewal; single point of contact for all personal lines coverage; convenient for policyholders who prefer consolidated insurance management.</w:t>
            </w:r>
          </w:p>
        </w:tc>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Disadvantages</w:t>
            </w:r>
          </w:p>
          <w:p>
            <w:pPr>
              <w:spacing w:after="0" w:before="0"/>
            </w:pPr>
            <w:r>
              <w:rPr>
                <w:rFonts w:ascii="Arial" w:cs="Arial" w:eastAsia="Arial" w:hAnsi="Arial"/>
                <w:color w:val="4A3F38"/>
                <w:sz w:val="20"/>
                <w:szCs w:val="20"/>
              </w:rPr>
              <w:t xml:space="preserve">A personal articles claim may affect your homeowners claims history and renewal pricing; coverage terms are constrained by the homeowners policy form; if you change homeowners carriers, endorsement coverage must be re-established; may not be available from all homeowners carriers.</w:t>
            </w:r>
          </w:p>
        </w:tc>
      </w:tr>
    </w:tbl>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3080"/>
        <w:gridCol w:w="3480"/>
      </w:tblGrid>
      <w:tr>
        <w:tc>
          <w:tcPr>
            <w:tcW w:type="dxa" w:w="2800"/>
            <w:tcBorders>
              <w:top w:val="none" w:color="FFFFFF" w:sz="0"/>
              <w:left w:val="none" w:color="FFFFFF" w:sz="0"/>
              <w:bottom w:val="none" w:color="FFFFFF" w:sz="0"/>
              <w:right w:val="none" w:color="FFFFFF" w:sz="0"/>
            </w:tcBorders>
            <w:shd w:fill="2C3A4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Factor</w:t>
            </w:r>
          </w:p>
        </w:tc>
        <w:tc>
          <w:tcPr>
            <w:tcW w:type="dxa" w:w="3080"/>
            <w:tcBorders>
              <w:top w:val="none" w:color="FFFFFF" w:sz="0"/>
              <w:left w:val="none" w:color="FFFFFF" w:sz="0"/>
              <w:bottom w:val="none" w:color="FFFFFF" w:sz="0"/>
              <w:right w:val="none" w:color="FFFFFF" w:sz="0"/>
            </w:tcBorders>
            <w:shd w:fill="7D284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Standalone Policy</w:t>
            </w:r>
          </w:p>
        </w:tc>
        <w:tc>
          <w:tcPr>
            <w:tcW w:type="dxa" w:w="3480"/>
            <w:tcBorders>
              <w:top w:val="none" w:color="FFFFFF" w:sz="0"/>
              <w:left w:val="none" w:color="FFFFFF" w:sz="0"/>
              <w:bottom w:val="none" w:color="FFFFFF" w:sz="0"/>
              <w:right w:val="none" w:color="FFFFFF" w:sz="0"/>
            </w:tcBorders>
            <w:shd w:fill="7D284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Homeowners Endorsement</w:t>
            </w:r>
          </w:p>
        </w:tc>
      </w:tr>
      <w:tr>
        <w:tc>
          <w:tcPr>
            <w:tcW w:type="dxa" w:w="280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Policy structure</w:t>
            </w:r>
          </w:p>
        </w:tc>
        <w:tc>
          <w:tcPr>
            <w:tcW w:type="dxa" w:w="308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Independent contract</w:t>
            </w:r>
          </w:p>
        </w:tc>
        <w:tc>
          <w:tcPr>
            <w:tcW w:type="dxa" w:w="348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Attached to homeowners policy</w:t>
            </w:r>
          </w:p>
        </w:tc>
      </w:tr>
      <w:tr>
        <w:tc>
          <w:tcPr>
            <w:tcW w:type="dxa" w:w="280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Claims independence</w:t>
            </w:r>
          </w:p>
        </w:tc>
        <w:tc>
          <w:tcPr>
            <w:tcW w:type="dxa" w:w="308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Separate — does not affect HO</w:t>
            </w:r>
          </w:p>
        </w:tc>
        <w:tc>
          <w:tcPr>
            <w:tcW w:type="dxa" w:w="348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Affects homeowners loss history</w:t>
            </w:r>
          </w:p>
        </w:tc>
      </w:tr>
      <w:tr>
        <w:tc>
          <w:tcPr>
            <w:tcW w:type="dxa" w:w="280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Coverage flexibility</w:t>
            </w:r>
          </w:p>
        </w:tc>
        <w:tc>
          <w:tcPr>
            <w:tcW w:type="dxa" w:w="308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High — specialty carrier terms</w:t>
            </w:r>
          </w:p>
        </w:tc>
        <w:tc>
          <w:tcPr>
            <w:tcW w:type="dxa" w:w="348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Constrained by HO policy form</w:t>
            </w:r>
          </w:p>
        </w:tc>
      </w:tr>
      <w:tr>
        <w:tc>
          <w:tcPr>
            <w:tcW w:type="dxa" w:w="280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Carrier change impact</w:t>
            </w:r>
          </w:p>
        </w:tc>
        <w:tc>
          <w:tcPr>
            <w:tcW w:type="dxa" w:w="308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Policy continues independently</w:t>
            </w:r>
          </w:p>
        </w:tc>
        <w:tc>
          <w:tcPr>
            <w:tcW w:type="dxa" w:w="348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Must re-schedule when HO changes</w:t>
            </w:r>
          </w:p>
        </w:tc>
      </w:tr>
      <w:tr>
        <w:tc>
          <w:tcPr>
            <w:tcW w:type="dxa" w:w="280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Administration</w:t>
            </w:r>
          </w:p>
        </w:tc>
        <w:tc>
          <w:tcPr>
            <w:tcW w:type="dxa" w:w="308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Separate policy/renewal/premium</w:t>
            </w:r>
          </w:p>
        </w:tc>
        <w:tc>
          <w:tcPr>
            <w:tcW w:type="dxa" w:w="348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Unified with homeowners policy</w:t>
            </w:r>
          </w:p>
        </w:tc>
      </w:tr>
      <w:tr>
        <w:tc>
          <w:tcPr>
            <w:tcW w:type="dxa" w:w="280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Best for</w:t>
            </w:r>
          </w:p>
        </w:tc>
        <w:tc>
          <w:tcPr>
            <w:tcW w:type="dxa" w:w="308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High-value or extensive collections</w:t>
            </w:r>
          </w:p>
        </w:tc>
        <w:tc>
          <w:tcPr>
            <w:tcW w:type="dxa" w:w="3480"/>
            <w:tcBorders>
              <w:top w:val="single" w:color="D4C8C0" w:sz="1"/>
              <w:left w:val="single" w:color="D4C8C0" w:sz="1"/>
              <w:bottom w:val="single" w:color="D4C8C0" w:sz="1"/>
              <w:right w:val="single" w:color="D4C8C0" w:sz="1"/>
            </w:tcBorders>
            <w:shd w:fill="F6F4F1"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Moderate value, simpler needs</w:t>
            </w:r>
          </w:p>
        </w:tc>
      </w:tr>
      <w:tr>
        <w:tc>
          <w:tcPr>
            <w:tcW w:type="dxa" w:w="280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bCs/>
                <w:color w:val="1E1A18"/>
                <w:sz w:val="20"/>
                <w:szCs w:val="20"/>
              </w:rPr>
              <w:t xml:space="preserve">Premium</w:t>
            </w:r>
          </w:p>
        </w:tc>
        <w:tc>
          <w:tcPr>
            <w:tcW w:type="dxa" w:w="308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Varies; often competitive</w:t>
            </w:r>
          </w:p>
        </w:tc>
        <w:tc>
          <w:tcPr>
            <w:tcW w:type="dxa" w:w="3480"/>
            <w:tcBorders>
              <w:top w:val="single" w:color="D4C8C0" w:sz="1"/>
              <w:left w:val="single" w:color="D4C8C0" w:sz="1"/>
              <w:bottom w:val="single" w:color="D4C8C0" w:sz="1"/>
              <w:right w:val="single" w:color="D4C8C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3F38"/>
                <w:sz w:val="20"/>
                <w:szCs w:val="20"/>
              </w:rPr>
              <w:t xml:space="preserve">Added to HO premium</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7D2840" w:sz="18"/>
              <w:bottom w:val="none" w:color="FFFFFF" w:sz="0"/>
              <w:right w:val="none" w:color="FFFFFF" w:sz="0"/>
            </w:tcBorders>
            <w:shd w:fill="FAF0F3" w:val="clear"/>
            <w:tcMar>
              <w:top w:type="dxa" w:w="110"/>
              <w:left w:type="dxa" w:w="200"/>
              <w:bottom w:type="dxa" w:w="110"/>
              <w:right w:type="dxa" w:w="160"/>
            </w:tcMar>
          </w:tcPr>
          <w:p>
            <w:pPr>
              <w:spacing w:after="0" w:before="0"/>
            </w:pPr>
            <w:r>
              <w:rPr>
                <w:rFonts w:ascii="Arial" w:cs="Arial" w:eastAsia="Arial" w:hAnsi="Arial"/>
                <w:b/>
                <w:bCs/>
                <w:color w:val="5C1A2E"/>
                <w:sz w:val="20"/>
                <w:szCs w:val="20"/>
              </w:rPr>
              <w:t xml:space="preserve">Key Takeaway: </w:t>
            </w:r>
            <w:r>
              <w:rPr>
                <w:rFonts w:ascii="Arial" w:cs="Arial" w:eastAsia="Arial" w:hAnsi="Arial"/>
                <w:color w:val="4A3F38"/>
                <w:sz w:val="20"/>
                <w:szCs w:val="20"/>
              </w:rPr>
              <w:t xml:space="preserve">For collections with significant total value — particularly jewelry, fine art, or watches worth $25,000 or more in aggregate — a standalone personal articles policy is typically the preferred structure, offering broader terms and claims independence from your homeowners policy.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5C1A2E" w:val="clear"/>
            <w:tcMar>
              <w:top w:type="dxa" w:w="160"/>
              <w:left w:type="dxa" w:w="240"/>
              <w:bottom w:type="dxa" w:w="160"/>
              <w:right w:type="dxa" w:w="240"/>
            </w:tcMar>
          </w:tcPr>
          <w:p>
            <w:pPr>
              <w:spacing w:after="0" w:before="0"/>
            </w:pPr>
            <w:r>
              <w:rPr>
                <w:rFonts w:ascii="Arial" w:cs="Arial" w:eastAsia="Arial" w:hAnsi="Arial"/>
                <w:b/>
                <w:bCs/>
                <w:color w:val="E8C4CE"/>
                <w:sz w:val="28"/>
                <w:szCs w:val="28"/>
              </w:rPr>
              <w:t xml:space="preserve">7.  </w:t>
            </w:r>
            <w:r>
              <w:rPr>
                <w:rFonts w:ascii="Arial" w:cs="Arial" w:eastAsia="Arial" w:hAnsi="Arial"/>
                <w:b/>
                <w:bCs/>
                <w:color w:val="FFFFFF"/>
                <w:sz w:val="28"/>
                <w:szCs w:val="28"/>
              </w:rPr>
              <w:t xml:space="preserve">Agreed Value vs. Actual Cash Value in Personal Articles</w:t>
            </w:r>
          </w:p>
        </w:tc>
      </w:tr>
    </w:tbl>
    <w:p>
      <w:pPr>
        <w:spacing w:after="0" w:before="100"/>
      </w:pPr>
      <w:r>
        <w:rPr>
          <w:rFonts w:ascii="Arial" w:cs="Arial" w:eastAsia="Arial" w:hAnsi="Arial"/>
        </w:rPr>
        <w:t xml:space="preserve"/>
      </w:r>
    </w:p>
    <w:p>
      <w:pPr>
        <w:spacing w:after="110" w:before="80"/>
      </w:pPr>
      <w:r>
        <w:rPr>
          <w:rFonts w:ascii="Arial" w:cs="Arial" w:eastAsia="Arial" w:hAnsi="Arial"/>
          <w:color w:val="1E1A18"/>
          <w:sz w:val="22"/>
          <w:szCs w:val="22"/>
        </w:rPr>
        <w:t xml:space="preserve">One of the most consequential decisions in personal articles insurance is how the value of a covered item will be determined at the time of a loss. There are two primary valuation approaches — agreed value and actual cash value — and the difference between them can be the difference between full recovery and a significant financial shortfall.</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Agreed Value</w:t>
            </w:r>
          </w:p>
          <w:p>
            <w:pPr>
              <w:spacing w:after="0" w:before="0"/>
            </w:pPr>
            <w:r>
              <w:rPr>
                <w:rFonts w:ascii="Arial" w:cs="Arial" w:eastAsia="Arial" w:hAnsi="Arial"/>
                <w:color w:val="4A3F38"/>
                <w:sz w:val="20"/>
                <w:szCs w:val="20"/>
              </w:rPr>
              <w:t xml:space="preserve">The insurer and the insured agree upfront — typically based on a professional appraisal — on the value of the item. If a covered total loss occurs, the insurer pays the full agreed value with no depreciation applied and no dispute about worth. Also called “scheduled value” or “stated value.”</w:t>
            </w:r>
          </w:p>
        </w:tc>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Actual Cash Value</w:t>
            </w:r>
          </w:p>
          <w:p>
            <w:pPr>
              <w:spacing w:after="0" w:before="0"/>
            </w:pPr>
            <w:r>
              <w:rPr>
                <w:rFonts w:ascii="Arial" w:cs="Arial" w:eastAsia="Arial" w:hAnsi="Arial"/>
                <w:color w:val="4A3F38"/>
                <w:sz w:val="20"/>
                <w:szCs w:val="20"/>
              </w:rPr>
              <w:t xml:space="preserve">The item’s fair market value at the time of the loss — which accounts for depreciation, age, condition, and comparable market transactions. ACV is almost always less than what the owner paid for the item or what it would cost to replace it today.</w:t>
            </w:r>
          </w:p>
        </w:tc>
      </w:tr>
      <w:tr>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Why It Matters</w:t>
            </w:r>
          </w:p>
          <w:p>
            <w:pPr>
              <w:spacing w:after="0" w:before="0"/>
            </w:pPr>
            <w:r>
              <w:rPr>
                <w:rFonts w:ascii="Arial" w:cs="Arial" w:eastAsia="Arial" w:hAnsi="Arial"/>
                <w:color w:val="4A3F38"/>
                <w:sz w:val="20"/>
                <w:szCs w:val="20"/>
              </w:rPr>
              <w:t xml:space="preserve">For jewelry, fine art, collectibles, and watches that appreciate in value, actual cash value is an especially poor basis for settlement. An antique watch purchased for $8,000 that has appreciated to $20,000 may only receive an ACV settlement of $8,000 — or less — under a standard policy.</w:t>
            </w:r>
          </w:p>
        </w:tc>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Appraisal Role</w:t>
            </w:r>
          </w:p>
          <w:p>
            <w:pPr>
              <w:spacing w:after="0" w:before="0"/>
            </w:pPr>
            <w:r>
              <w:rPr>
                <w:rFonts w:ascii="Arial" w:cs="Arial" w:eastAsia="Arial" w:hAnsi="Arial"/>
                <w:color w:val="4A3F38"/>
                <w:sz w:val="20"/>
                <w:szCs w:val="20"/>
              </w:rPr>
              <w:t xml:space="preserve">Agreed value coverage is only as strong as the appraisal it is based on. An outdated appraisal can result in an insured value that no longer reflects the item’s current market worth. Appraisals should be updated every 2–3 years for jewelry and fine art.</w:t>
            </w:r>
          </w:p>
        </w:tc>
      </w:tr>
    </w:tbl>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280"/>
        <w:gridCol w:w="2280"/>
        <w:gridCol w:w="2400"/>
      </w:tblGrid>
      <w:tr>
        <w:tc>
          <w:tcPr>
            <w:tcW w:type="dxa" w:w="2400"/>
            <w:tcBorders>
              <w:top w:val="none" w:color="FFFFFF" w:sz="0"/>
              <w:left w:val="none" w:color="FFFFFF" w:sz="0"/>
              <w:bottom w:val="none" w:color="FFFFFF" w:sz="0"/>
              <w:right w:val="none" w:color="FFFFFF" w:sz="0"/>
            </w:tcBorders>
            <w:shd w:fill="5C1A2E"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Scenario</w:t>
            </w:r>
          </w:p>
        </w:tc>
        <w:tc>
          <w:tcPr>
            <w:tcW w:type="dxa" w:w="2280"/>
            <w:tcBorders>
              <w:top w:val="none" w:color="FFFFFF" w:sz="0"/>
              <w:left w:val="none" w:color="FFFFFF" w:sz="0"/>
              <w:bottom w:val="none" w:color="FFFFFF" w:sz="0"/>
              <w:right w:val="none" w:color="FFFFFF" w:sz="0"/>
            </w:tcBorders>
            <w:shd w:fill="5C1A2E"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Item Value at Loss</w:t>
            </w:r>
          </w:p>
        </w:tc>
        <w:tc>
          <w:tcPr>
            <w:tcW w:type="dxa" w:w="2280"/>
            <w:tcBorders>
              <w:top w:val="none" w:color="FFFFFF" w:sz="0"/>
              <w:left w:val="none" w:color="FFFFFF" w:sz="0"/>
              <w:bottom w:val="none" w:color="FFFFFF" w:sz="0"/>
              <w:right w:val="none" w:color="FFFFFF" w:sz="0"/>
            </w:tcBorders>
            <w:shd w:fill="5C1A2E"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Settlement Basis</w:t>
            </w:r>
          </w:p>
        </w:tc>
        <w:tc>
          <w:tcPr>
            <w:tcW w:type="dxa" w:w="2400"/>
            <w:tcBorders>
              <w:top w:val="none" w:color="FFFFFF" w:sz="0"/>
              <w:left w:val="none" w:color="FFFFFF" w:sz="0"/>
              <w:bottom w:val="none" w:color="FFFFFF" w:sz="0"/>
              <w:right w:val="none" w:color="FFFFFF" w:sz="0"/>
            </w:tcBorders>
            <w:shd w:fill="5C1A2E"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Payout</w:t>
            </w:r>
          </w:p>
        </w:tc>
      </w:tr>
      <w:tr>
        <w:tc>
          <w:tcPr>
            <w:tcW w:type="dxa" w:w="2400"/>
            <w:tcBorders>
              <w:top w:val="single" w:color="D4C8C0" w:sz="1"/>
              <w:left w:val="single" w:color="D4C8C0" w:sz="1"/>
              <w:bottom w:val="single" w:color="D4C8C0" w:sz="1"/>
              <w:right w:val="single" w:color="D4C8C0" w:sz="1"/>
            </w:tcBorders>
            <w:shd w:fill="FFFFFF" w:val="clear"/>
            <w:tcMar>
              <w:top w:type="dxa" w:w="80"/>
              <w:left w:type="dxa" w:w="140"/>
              <w:bottom w:type="dxa" w:w="80"/>
              <w:right w:type="dxa" w:w="140"/>
            </w:tcMar>
          </w:tcPr>
          <w:p>
            <w:pPr>
              <w:spacing w:after="0" w:before="0"/>
            </w:pPr>
            <w:r>
              <w:rPr>
                <w:rFonts w:ascii="Arial" w:cs="Arial" w:eastAsia="Arial" w:hAnsi="Arial"/>
                <w:b/>
                <w:bCs/>
                <w:color w:val="1E1A18"/>
                <w:sz w:val="19"/>
                <w:szCs w:val="19"/>
              </w:rPr>
              <w:t xml:space="preserve">Jewelry (agreed value)</w:t>
            </w:r>
          </w:p>
        </w:tc>
        <w:tc>
          <w:tcPr>
            <w:tcW w:type="dxa" w:w="2280"/>
            <w:tcBorders>
              <w:top w:val="single" w:color="D4C8C0" w:sz="1"/>
              <w:left w:val="single" w:color="D4C8C0" w:sz="1"/>
              <w:bottom w:val="single" w:color="D4C8C0" w:sz="1"/>
              <w:right w:val="single" w:color="D4C8C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$12,000 (appraised)</w:t>
            </w:r>
          </w:p>
        </w:tc>
        <w:tc>
          <w:tcPr>
            <w:tcW w:type="dxa" w:w="2280"/>
            <w:tcBorders>
              <w:top w:val="single" w:color="D4C8C0" w:sz="1"/>
              <w:left w:val="single" w:color="D4C8C0" w:sz="1"/>
              <w:bottom w:val="single" w:color="D4C8C0" w:sz="1"/>
              <w:right w:val="single" w:color="D4C8C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Agreed / scheduled value</w:t>
            </w:r>
          </w:p>
        </w:tc>
        <w:tc>
          <w:tcPr>
            <w:tcW w:type="dxa" w:w="2400"/>
            <w:tcBorders>
              <w:top w:val="single" w:color="D4C8C0" w:sz="1"/>
              <w:left w:val="single" w:color="D4C8C0" w:sz="1"/>
              <w:bottom w:val="single" w:color="D4C8C0" w:sz="1"/>
              <w:right w:val="single" w:color="D4C8C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$12,000 paid in full</w:t>
            </w:r>
          </w:p>
        </w:tc>
      </w:tr>
      <w:tr>
        <w:tc>
          <w:tcPr>
            <w:tcW w:type="dxa" w:w="2400"/>
            <w:tcBorders>
              <w:top w:val="single" w:color="D4C8C0" w:sz="1"/>
              <w:left w:val="single" w:color="D4C8C0" w:sz="1"/>
              <w:bottom w:val="single" w:color="D4C8C0" w:sz="1"/>
              <w:right w:val="single" w:color="D4C8C0" w:sz="1"/>
            </w:tcBorders>
            <w:shd w:fill="F6F4F1" w:val="clear"/>
            <w:tcMar>
              <w:top w:type="dxa" w:w="80"/>
              <w:left w:type="dxa" w:w="140"/>
              <w:bottom w:type="dxa" w:w="80"/>
              <w:right w:type="dxa" w:w="140"/>
            </w:tcMar>
          </w:tcPr>
          <w:p>
            <w:pPr>
              <w:spacing w:after="0" w:before="0"/>
            </w:pPr>
            <w:r>
              <w:rPr>
                <w:rFonts w:ascii="Arial" w:cs="Arial" w:eastAsia="Arial" w:hAnsi="Arial"/>
                <w:b/>
                <w:bCs/>
                <w:color w:val="1E1A18"/>
                <w:sz w:val="19"/>
                <w:szCs w:val="19"/>
              </w:rPr>
              <w:t xml:space="preserve">Jewelry (ACV)</w:t>
            </w:r>
          </w:p>
        </w:tc>
        <w:tc>
          <w:tcPr>
            <w:tcW w:type="dxa" w:w="2280"/>
            <w:tcBorders>
              <w:top w:val="single" w:color="D4C8C0" w:sz="1"/>
              <w:left w:val="single" w:color="D4C8C0" w:sz="1"/>
              <w:bottom w:val="single" w:color="D4C8C0" w:sz="1"/>
              <w:right w:val="single" w:color="D4C8C0" w:sz="1"/>
            </w:tcBorders>
            <w:shd w:fill="F6F4F1"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$12,000 (appraised)</w:t>
            </w:r>
          </w:p>
        </w:tc>
        <w:tc>
          <w:tcPr>
            <w:tcW w:type="dxa" w:w="2280"/>
            <w:tcBorders>
              <w:top w:val="single" w:color="D4C8C0" w:sz="1"/>
              <w:left w:val="single" w:color="D4C8C0" w:sz="1"/>
              <w:bottom w:val="single" w:color="D4C8C0" w:sz="1"/>
              <w:right w:val="single" w:color="D4C8C0" w:sz="1"/>
            </w:tcBorders>
            <w:shd w:fill="F6F4F1"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Actual cash value</w:t>
            </w:r>
          </w:p>
        </w:tc>
        <w:tc>
          <w:tcPr>
            <w:tcW w:type="dxa" w:w="2400"/>
            <w:tcBorders>
              <w:top w:val="single" w:color="D4C8C0" w:sz="1"/>
              <w:left w:val="single" w:color="D4C8C0" w:sz="1"/>
              <w:bottom w:val="single" w:color="D4C8C0" w:sz="1"/>
              <w:right w:val="single" w:color="D4C8C0" w:sz="1"/>
            </w:tcBorders>
            <w:shd w:fill="F6F4F1"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$7,500–$9,000 (depreciated)</w:t>
            </w:r>
          </w:p>
        </w:tc>
      </w:tr>
      <w:tr>
        <w:tc>
          <w:tcPr>
            <w:tcW w:type="dxa" w:w="2400"/>
            <w:tcBorders>
              <w:top w:val="single" w:color="D4C8C0" w:sz="1"/>
              <w:left w:val="single" w:color="D4C8C0" w:sz="1"/>
              <w:bottom w:val="single" w:color="D4C8C0" w:sz="1"/>
              <w:right w:val="single" w:color="D4C8C0" w:sz="1"/>
            </w:tcBorders>
            <w:shd w:fill="FFFFFF" w:val="clear"/>
            <w:tcMar>
              <w:top w:type="dxa" w:w="80"/>
              <w:left w:type="dxa" w:w="140"/>
              <w:bottom w:type="dxa" w:w="80"/>
              <w:right w:type="dxa" w:w="140"/>
            </w:tcMar>
          </w:tcPr>
          <w:p>
            <w:pPr>
              <w:spacing w:after="0" w:before="0"/>
            </w:pPr>
            <w:r>
              <w:rPr>
                <w:rFonts w:ascii="Arial" w:cs="Arial" w:eastAsia="Arial" w:hAnsi="Arial"/>
                <w:b/>
                <w:bCs/>
                <w:color w:val="1E1A18"/>
                <w:sz w:val="19"/>
                <w:szCs w:val="19"/>
              </w:rPr>
              <w:t xml:space="preserve">Fine art (agreed value)</w:t>
            </w:r>
          </w:p>
        </w:tc>
        <w:tc>
          <w:tcPr>
            <w:tcW w:type="dxa" w:w="2280"/>
            <w:tcBorders>
              <w:top w:val="single" w:color="D4C8C0" w:sz="1"/>
              <w:left w:val="single" w:color="D4C8C0" w:sz="1"/>
              <w:bottom w:val="single" w:color="D4C8C0" w:sz="1"/>
              <w:right w:val="single" w:color="D4C8C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$45,000 (appraised)</w:t>
            </w:r>
          </w:p>
        </w:tc>
        <w:tc>
          <w:tcPr>
            <w:tcW w:type="dxa" w:w="2280"/>
            <w:tcBorders>
              <w:top w:val="single" w:color="D4C8C0" w:sz="1"/>
              <w:left w:val="single" w:color="D4C8C0" w:sz="1"/>
              <w:bottom w:val="single" w:color="D4C8C0" w:sz="1"/>
              <w:right w:val="single" w:color="D4C8C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Agreed / scheduled value</w:t>
            </w:r>
          </w:p>
        </w:tc>
        <w:tc>
          <w:tcPr>
            <w:tcW w:type="dxa" w:w="2400"/>
            <w:tcBorders>
              <w:top w:val="single" w:color="D4C8C0" w:sz="1"/>
              <w:left w:val="single" w:color="D4C8C0" w:sz="1"/>
              <w:bottom w:val="single" w:color="D4C8C0" w:sz="1"/>
              <w:right w:val="single" w:color="D4C8C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$45,000 paid in full</w:t>
            </w:r>
          </w:p>
        </w:tc>
      </w:tr>
      <w:tr>
        <w:tc>
          <w:tcPr>
            <w:tcW w:type="dxa" w:w="2400"/>
            <w:tcBorders>
              <w:top w:val="single" w:color="D4C8C0" w:sz="1"/>
              <w:left w:val="single" w:color="D4C8C0" w:sz="1"/>
              <w:bottom w:val="single" w:color="D4C8C0" w:sz="1"/>
              <w:right w:val="single" w:color="D4C8C0" w:sz="1"/>
            </w:tcBorders>
            <w:shd w:fill="F6F4F1" w:val="clear"/>
            <w:tcMar>
              <w:top w:type="dxa" w:w="80"/>
              <w:left w:type="dxa" w:w="140"/>
              <w:bottom w:type="dxa" w:w="80"/>
              <w:right w:type="dxa" w:w="140"/>
            </w:tcMar>
          </w:tcPr>
          <w:p>
            <w:pPr>
              <w:spacing w:after="0" w:before="0"/>
            </w:pPr>
            <w:r>
              <w:rPr>
                <w:rFonts w:ascii="Arial" w:cs="Arial" w:eastAsia="Arial" w:hAnsi="Arial"/>
                <w:b/>
                <w:bCs/>
                <w:color w:val="1E1A18"/>
                <w:sz w:val="19"/>
                <w:szCs w:val="19"/>
              </w:rPr>
              <w:t xml:space="preserve">Fine art (ACV)</w:t>
            </w:r>
          </w:p>
        </w:tc>
        <w:tc>
          <w:tcPr>
            <w:tcW w:type="dxa" w:w="2280"/>
            <w:tcBorders>
              <w:top w:val="single" w:color="D4C8C0" w:sz="1"/>
              <w:left w:val="single" w:color="D4C8C0" w:sz="1"/>
              <w:bottom w:val="single" w:color="D4C8C0" w:sz="1"/>
              <w:right w:val="single" w:color="D4C8C0" w:sz="1"/>
            </w:tcBorders>
            <w:shd w:fill="F6F4F1"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$45,000 (appraised)</w:t>
            </w:r>
          </w:p>
        </w:tc>
        <w:tc>
          <w:tcPr>
            <w:tcW w:type="dxa" w:w="2280"/>
            <w:tcBorders>
              <w:top w:val="single" w:color="D4C8C0" w:sz="1"/>
              <w:left w:val="single" w:color="D4C8C0" w:sz="1"/>
              <w:bottom w:val="single" w:color="D4C8C0" w:sz="1"/>
              <w:right w:val="single" w:color="D4C8C0" w:sz="1"/>
            </w:tcBorders>
            <w:shd w:fill="F6F4F1"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Actual cash value</w:t>
            </w:r>
          </w:p>
        </w:tc>
        <w:tc>
          <w:tcPr>
            <w:tcW w:type="dxa" w:w="2400"/>
            <w:tcBorders>
              <w:top w:val="single" w:color="D4C8C0" w:sz="1"/>
              <w:left w:val="single" w:color="D4C8C0" w:sz="1"/>
              <w:bottom w:val="single" w:color="D4C8C0" w:sz="1"/>
              <w:right w:val="single" w:color="D4C8C0" w:sz="1"/>
            </w:tcBorders>
            <w:shd w:fill="F6F4F1"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Market comparable — may be lower</w:t>
            </w:r>
          </w:p>
        </w:tc>
      </w:tr>
      <w:tr>
        <w:tc>
          <w:tcPr>
            <w:tcW w:type="dxa" w:w="2400"/>
            <w:tcBorders>
              <w:top w:val="single" w:color="D4C8C0" w:sz="1"/>
              <w:left w:val="single" w:color="D4C8C0" w:sz="1"/>
              <w:bottom w:val="single" w:color="D4C8C0" w:sz="1"/>
              <w:right w:val="single" w:color="D4C8C0" w:sz="1"/>
            </w:tcBorders>
            <w:shd w:fill="FFFFFF" w:val="clear"/>
            <w:tcMar>
              <w:top w:type="dxa" w:w="80"/>
              <w:left w:type="dxa" w:w="140"/>
              <w:bottom w:type="dxa" w:w="80"/>
              <w:right w:type="dxa" w:w="140"/>
            </w:tcMar>
          </w:tcPr>
          <w:p>
            <w:pPr>
              <w:spacing w:after="0" w:before="0"/>
            </w:pPr>
            <w:r>
              <w:rPr>
                <w:rFonts w:ascii="Arial" w:cs="Arial" w:eastAsia="Arial" w:hAnsi="Arial"/>
                <w:b/>
                <w:bCs/>
                <w:color w:val="1E1A18"/>
                <w:sz w:val="19"/>
                <w:szCs w:val="19"/>
              </w:rPr>
              <w:t xml:space="preserve">Vintage watch (agreed)</w:t>
            </w:r>
          </w:p>
        </w:tc>
        <w:tc>
          <w:tcPr>
            <w:tcW w:type="dxa" w:w="2280"/>
            <w:tcBorders>
              <w:top w:val="single" w:color="D4C8C0" w:sz="1"/>
              <w:left w:val="single" w:color="D4C8C0" w:sz="1"/>
              <w:bottom w:val="single" w:color="D4C8C0" w:sz="1"/>
              <w:right w:val="single" w:color="D4C8C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$18,000 (appraised)</w:t>
            </w:r>
          </w:p>
        </w:tc>
        <w:tc>
          <w:tcPr>
            <w:tcW w:type="dxa" w:w="2280"/>
            <w:tcBorders>
              <w:top w:val="single" w:color="D4C8C0" w:sz="1"/>
              <w:left w:val="single" w:color="D4C8C0" w:sz="1"/>
              <w:bottom w:val="single" w:color="D4C8C0" w:sz="1"/>
              <w:right w:val="single" w:color="D4C8C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Agreed / scheduled value</w:t>
            </w:r>
          </w:p>
        </w:tc>
        <w:tc>
          <w:tcPr>
            <w:tcW w:type="dxa" w:w="2400"/>
            <w:tcBorders>
              <w:top w:val="single" w:color="D4C8C0" w:sz="1"/>
              <w:left w:val="single" w:color="D4C8C0" w:sz="1"/>
              <w:bottom w:val="single" w:color="D4C8C0" w:sz="1"/>
              <w:right w:val="single" w:color="D4C8C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$18,000 paid in full</w:t>
            </w:r>
          </w:p>
        </w:tc>
      </w:tr>
      <w:tr>
        <w:tc>
          <w:tcPr>
            <w:tcW w:type="dxa" w:w="2400"/>
            <w:tcBorders>
              <w:top w:val="single" w:color="D4C8C0" w:sz="1"/>
              <w:left w:val="single" w:color="D4C8C0" w:sz="1"/>
              <w:bottom w:val="single" w:color="D4C8C0" w:sz="1"/>
              <w:right w:val="single" w:color="D4C8C0" w:sz="1"/>
            </w:tcBorders>
            <w:shd w:fill="F6F4F1" w:val="clear"/>
            <w:tcMar>
              <w:top w:type="dxa" w:w="80"/>
              <w:left w:type="dxa" w:w="140"/>
              <w:bottom w:type="dxa" w:w="80"/>
              <w:right w:type="dxa" w:w="140"/>
            </w:tcMar>
          </w:tcPr>
          <w:p>
            <w:pPr>
              <w:spacing w:after="0" w:before="0"/>
            </w:pPr>
            <w:r>
              <w:rPr>
                <w:rFonts w:ascii="Arial" w:cs="Arial" w:eastAsia="Arial" w:hAnsi="Arial"/>
                <w:b/>
                <w:bCs/>
                <w:color w:val="1E1A18"/>
                <w:sz w:val="19"/>
                <w:szCs w:val="19"/>
              </w:rPr>
              <w:t xml:space="preserve">Vintage watch (ACV)</w:t>
            </w:r>
          </w:p>
        </w:tc>
        <w:tc>
          <w:tcPr>
            <w:tcW w:type="dxa" w:w="2280"/>
            <w:tcBorders>
              <w:top w:val="single" w:color="D4C8C0" w:sz="1"/>
              <w:left w:val="single" w:color="D4C8C0" w:sz="1"/>
              <w:bottom w:val="single" w:color="D4C8C0" w:sz="1"/>
              <w:right w:val="single" w:color="D4C8C0" w:sz="1"/>
            </w:tcBorders>
            <w:shd w:fill="F6F4F1"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$18,000 (appraised)</w:t>
            </w:r>
          </w:p>
        </w:tc>
        <w:tc>
          <w:tcPr>
            <w:tcW w:type="dxa" w:w="2280"/>
            <w:tcBorders>
              <w:top w:val="single" w:color="D4C8C0" w:sz="1"/>
              <w:left w:val="single" w:color="D4C8C0" w:sz="1"/>
              <w:bottom w:val="single" w:color="D4C8C0" w:sz="1"/>
              <w:right w:val="single" w:color="D4C8C0" w:sz="1"/>
            </w:tcBorders>
            <w:shd w:fill="F6F4F1"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Actual cash value</w:t>
            </w:r>
          </w:p>
        </w:tc>
        <w:tc>
          <w:tcPr>
            <w:tcW w:type="dxa" w:w="2400"/>
            <w:tcBorders>
              <w:top w:val="single" w:color="D4C8C0" w:sz="1"/>
              <w:left w:val="single" w:color="D4C8C0" w:sz="1"/>
              <w:bottom w:val="single" w:color="D4C8C0" w:sz="1"/>
              <w:right w:val="single" w:color="D4C8C0" w:sz="1"/>
            </w:tcBorders>
            <w:shd w:fill="F6F4F1" w:val="clear"/>
            <w:tcMar>
              <w:top w:type="dxa" w:w="80"/>
              <w:left w:type="dxa" w:w="140"/>
              <w:bottom w:type="dxa" w:w="80"/>
              <w:right w:type="dxa" w:w="140"/>
            </w:tcMar>
          </w:tcPr>
          <w:p>
            <w:pPr>
              <w:spacing w:after="0" w:before="0"/>
            </w:pPr>
            <w:r>
              <w:rPr>
                <w:rFonts w:ascii="Arial" w:cs="Arial" w:eastAsia="Arial" w:hAnsi="Arial"/>
                <w:b w:val="false"/>
                <w:bCs w:val="false"/>
                <w:color w:val="4A3F38"/>
                <w:sz w:val="19"/>
                <w:szCs w:val="19"/>
              </w:rPr>
              <w:t xml:space="preserve">Could be fraction of appraised value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The Depreciation Trap</w:t>
            </w:r>
          </w:p>
          <w:p>
            <w:pPr>
              <w:spacing w:after="0" w:before="0"/>
            </w:pPr>
            <w:r>
              <w:rPr>
                <w:rFonts w:ascii="Arial" w:cs="Arial" w:eastAsia="Arial" w:hAnsi="Arial"/>
                <w:color w:val="5A1010"/>
                <w:sz w:val="20"/>
                <w:szCs w:val="20"/>
              </w:rPr>
              <w:t xml:space="preserve">Standard homeowners personal property coverage typically pays actual cash value — meaning depreciation is deducted from your claim. For items like electronics and clothing, this is expected. But for jewelry, art, and collectibles that appreciate rather than depreciate, ACV settlement is a serious coverage deficiency that can only be addressed with agreed value coverage under a personal articles policy.</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7D2840" w:sz="18"/>
              <w:bottom w:val="none" w:color="FFFFFF" w:sz="0"/>
              <w:right w:val="none" w:color="FFFFFF" w:sz="0"/>
            </w:tcBorders>
            <w:shd w:fill="FAF0F3" w:val="clear"/>
            <w:tcMar>
              <w:top w:type="dxa" w:w="110"/>
              <w:left w:type="dxa" w:w="200"/>
              <w:bottom w:type="dxa" w:w="110"/>
              <w:right w:type="dxa" w:w="160"/>
            </w:tcMar>
          </w:tcPr>
          <w:p>
            <w:pPr>
              <w:spacing w:after="0" w:before="0"/>
            </w:pPr>
            <w:r>
              <w:rPr>
                <w:rFonts w:ascii="Arial" w:cs="Arial" w:eastAsia="Arial" w:hAnsi="Arial"/>
                <w:b/>
                <w:bCs/>
                <w:color w:val="5C1A2E"/>
                <w:sz w:val="20"/>
                <w:szCs w:val="20"/>
              </w:rPr>
              <w:t xml:space="preserve">Key Takeaway: </w:t>
            </w:r>
            <w:r>
              <w:rPr>
                <w:rFonts w:ascii="Arial" w:cs="Arial" w:eastAsia="Arial" w:hAnsi="Arial"/>
                <w:color w:val="4A3F38"/>
                <w:sz w:val="20"/>
                <w:szCs w:val="20"/>
              </w:rPr>
              <w:t xml:space="preserve">Always confirm that your personal articles policy provides agreed value or scheduled value settlement. The only way to ensure you receive the full insured amount at claim time — with no depreciation deduction and no dispute — is to have the insured value agreed upon in advance through a current professional appraisal.</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5C1A2E" w:val="clear"/>
            <w:tcMar>
              <w:top w:type="dxa" w:w="160"/>
              <w:left w:type="dxa" w:w="240"/>
              <w:bottom w:type="dxa" w:w="160"/>
              <w:right w:type="dxa" w:w="240"/>
            </w:tcMar>
          </w:tcPr>
          <w:p>
            <w:pPr>
              <w:spacing w:after="0" w:before="0"/>
            </w:pPr>
            <w:r>
              <w:rPr>
                <w:rFonts w:ascii="Arial" w:cs="Arial" w:eastAsia="Arial" w:hAnsi="Arial"/>
                <w:b/>
                <w:bCs/>
                <w:color w:val="E8C4CE"/>
                <w:sz w:val="28"/>
                <w:szCs w:val="28"/>
              </w:rPr>
              <w:t xml:space="preserve">8.  </w:t>
            </w:r>
            <w:r>
              <w:rPr>
                <w:rFonts w:ascii="Arial" w:cs="Arial" w:eastAsia="Arial" w:hAnsi="Arial"/>
                <w:b/>
                <w:bCs/>
                <w:color w:val="FFFFFF"/>
                <w:sz w:val="28"/>
                <w:szCs w:val="28"/>
              </w:rPr>
              <w:t xml:space="preserve">Replacement Cost Coverage in Personal Articles Policies</w:t>
            </w:r>
          </w:p>
        </w:tc>
      </w:tr>
    </w:tbl>
    <w:p>
      <w:pPr>
        <w:spacing w:after="0" w:before="100"/>
      </w:pPr>
      <w:r>
        <w:rPr>
          <w:rFonts w:ascii="Arial" w:cs="Arial" w:eastAsia="Arial" w:hAnsi="Arial"/>
        </w:rPr>
        <w:t xml:space="preserve"/>
      </w:r>
    </w:p>
    <w:p>
      <w:pPr>
        <w:spacing w:after="110" w:before="80"/>
      </w:pPr>
      <w:r>
        <w:rPr>
          <w:rFonts w:ascii="Arial" w:cs="Arial" w:eastAsia="Arial" w:hAnsi="Arial"/>
          <w:color w:val="1E1A18"/>
          <w:sz w:val="22"/>
          <w:szCs w:val="22"/>
        </w:rPr>
        <w:t xml:space="preserve">Replacement cost coverage in personal articles insurance means the policy pays the full cost to replace a lost, stolen, or damaged item with a new one of like kind and quality — without any deduction for depreciation. For personal property items that wear out or become obsolete over time, replacement cost is a significant improvement over actual cash value settlement.</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What Replacement Cost Means</w:t>
            </w:r>
          </w:p>
          <w:p>
            <w:pPr>
              <w:spacing w:after="0" w:before="0"/>
            </w:pPr>
            <w:r>
              <w:rPr>
                <w:rFonts w:ascii="Arial" w:cs="Arial" w:eastAsia="Arial" w:hAnsi="Arial"/>
                <w:color w:val="4A3F38"/>
                <w:sz w:val="20"/>
                <w:szCs w:val="20"/>
              </w:rPr>
              <w:t xml:space="preserve">If a covered item is stolen or damaged beyond repair, the insurer pays the current market cost of a new item of comparable quality and kind — not what the item was worth after years of use and depreciation.</w:t>
            </w:r>
          </w:p>
        </w:tc>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How It Differs from Agreed Value</w:t>
            </w:r>
          </w:p>
          <w:p>
            <w:pPr>
              <w:spacing w:after="0" w:before="0"/>
            </w:pPr>
            <w:r>
              <w:rPr>
                <w:rFonts w:ascii="Arial" w:cs="Arial" w:eastAsia="Arial" w:hAnsi="Arial"/>
                <w:color w:val="4A3F38"/>
                <w:sz w:val="20"/>
                <w:szCs w:val="20"/>
              </w:rPr>
              <w:t xml:space="preserve">Agreed value is an amount fixed at policy inception based on an appraisal. Replacement cost is determined at the time of loss based on current market prices. For appreciating items like jewelry and art, agreed value may be more protective; for depreciating items, replacement cost is typically equivalent or better.</w:t>
            </w:r>
          </w:p>
        </w:tc>
      </w:tr>
      <w:tr>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Items That Benefit Most</w:t>
            </w:r>
          </w:p>
          <w:p>
            <w:pPr>
              <w:spacing w:after="0" w:before="0"/>
            </w:pPr>
            <w:r>
              <w:rPr>
                <w:rFonts w:ascii="Arial" w:cs="Arial" w:eastAsia="Arial" w:hAnsi="Arial"/>
                <w:color w:val="4A3F38"/>
                <w:sz w:val="20"/>
                <w:szCs w:val="20"/>
              </w:rPr>
              <w:t xml:space="preserve">Musical instruments, cameras and photography equipment, sports equipment, and electronics benefit most from replacement cost coverage, as these items depreciate over time but the cost to replace them with new equivalents remains high.</w:t>
            </w:r>
          </w:p>
        </w:tc>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Replacement Cost vs. Cash Settlement</w:t>
            </w:r>
          </w:p>
          <w:p>
            <w:pPr>
              <w:spacing w:after="0" w:before="0"/>
            </w:pPr>
            <w:r>
              <w:rPr>
                <w:rFonts w:ascii="Arial" w:cs="Arial" w:eastAsia="Arial" w:hAnsi="Arial"/>
                <w:color w:val="4A3F38"/>
                <w:sz w:val="20"/>
                <w:szCs w:val="20"/>
              </w:rPr>
              <w:t xml:space="preserve">Some policies offer the insurer the option to replace the item in kind rather than pay cash. An insurer may fulfill a jewelry claim by providing a replacement ring through a preferred jeweler rather than paying the cash value. Review your policy to understand which settlement method applies.</w:t>
            </w:r>
          </w:p>
        </w:tc>
      </w:tr>
    </w:tbl>
    <w:p>
      <w:pPr>
        <w:spacing w:after="0" w:before="100"/>
      </w:pPr>
      <w:r>
        <w:rPr>
          <w:rFonts w:ascii="Arial" w:cs="Arial" w:eastAsia="Arial" w:hAnsi="Arial"/>
        </w:rPr>
        <w:t xml:space="preserve"/>
      </w:r>
    </w:p>
    <w:p>
      <w:pPr>
        <w:pBdr>
          <w:bottom w:val="single" w:color="E8C4CE" w:sz="4" w:space="4"/>
        </w:pBdr>
        <w:spacing w:after="80" w:before="220"/>
      </w:pPr>
      <w:r>
        <w:rPr>
          <w:rFonts w:ascii="Arial" w:cs="Arial" w:eastAsia="Arial" w:hAnsi="Arial"/>
          <w:b/>
          <w:bCs/>
          <w:color w:val="5C1A2E"/>
          <w:sz w:val="24"/>
          <w:szCs w:val="24"/>
        </w:rPr>
        <w:t xml:space="preserve">Replacement Cost in Practice by Item Category</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7D2840"/>
          <w:sz w:val="22"/>
          <w:szCs w:val="22"/>
        </w:rPr>
        <w:t xml:space="preserve">Jewelry and watches — </w:t>
      </w:r>
      <w:r>
        <w:rPr>
          <w:rFonts w:ascii="Arial" w:cs="Arial" w:eastAsia="Arial" w:hAnsi="Arial"/>
          <w:color w:val="4A3F38"/>
          <w:sz w:val="22"/>
          <w:szCs w:val="22"/>
        </w:rPr>
        <w:t xml:space="preserve">best protected by agreed value; replacement cost is effectively equivalent for standard jewelry since replacement at full value is the goal</w:t>
      </w:r>
    </w:p>
    <w:p>
      <w:pPr>
        <w:pStyle w:val="ListParagraph"/>
        <w:numPr>
          <w:ilvl w:val="0"/>
          <w:numId w:val="2"/>
        </w:numPr>
        <w:spacing w:after="60" w:before="60"/>
      </w:pPr>
      <w:r>
        <w:rPr>
          <w:rFonts w:ascii="Arial" w:cs="Arial" w:eastAsia="Arial" w:hAnsi="Arial"/>
          <w:b/>
          <w:bCs/>
          <w:color w:val="7D2840"/>
          <w:sz w:val="22"/>
          <w:szCs w:val="22"/>
        </w:rPr>
        <w:t xml:space="preserve">Fine art — </w:t>
      </w:r>
      <w:r>
        <w:rPr>
          <w:rFonts w:ascii="Arial" w:cs="Arial" w:eastAsia="Arial" w:hAnsi="Arial"/>
          <w:color w:val="4A3F38"/>
          <w:sz w:val="22"/>
          <w:szCs w:val="22"/>
        </w:rPr>
        <w:t xml:space="preserve">agreed value is generally preferred; original works cannot truly be “replaced,” making a pre-agreed scheduled value the most appropriate settlement basis</w:t>
      </w:r>
    </w:p>
    <w:p>
      <w:pPr>
        <w:pStyle w:val="ListParagraph"/>
        <w:numPr>
          <w:ilvl w:val="0"/>
          <w:numId w:val="2"/>
        </w:numPr>
        <w:spacing w:after="60" w:before="60"/>
      </w:pPr>
      <w:r>
        <w:rPr>
          <w:rFonts w:ascii="Arial" w:cs="Arial" w:eastAsia="Arial" w:hAnsi="Arial"/>
          <w:b/>
          <w:bCs/>
          <w:color w:val="7D2840"/>
          <w:sz w:val="22"/>
          <w:szCs w:val="22"/>
        </w:rPr>
        <w:t xml:space="preserve">Musical instruments — </w:t>
      </w:r>
      <w:r>
        <w:rPr>
          <w:rFonts w:ascii="Arial" w:cs="Arial" w:eastAsia="Arial" w:hAnsi="Arial"/>
          <w:color w:val="4A3F38"/>
          <w:sz w:val="22"/>
          <w:szCs w:val="22"/>
        </w:rPr>
        <w:t xml:space="preserve">replacement cost is valuable; a 10-year-old professional guitar can be replaced with a new equivalent model at current prices</w:t>
      </w:r>
    </w:p>
    <w:p>
      <w:pPr>
        <w:pStyle w:val="ListParagraph"/>
        <w:numPr>
          <w:ilvl w:val="0"/>
          <w:numId w:val="2"/>
        </w:numPr>
        <w:spacing w:after="60" w:before="60"/>
      </w:pPr>
      <w:r>
        <w:rPr>
          <w:rFonts w:ascii="Arial" w:cs="Arial" w:eastAsia="Arial" w:hAnsi="Arial"/>
          <w:b/>
          <w:bCs/>
          <w:color w:val="7D2840"/>
          <w:sz w:val="22"/>
          <w:szCs w:val="22"/>
        </w:rPr>
        <w:t xml:space="preserve">Camera equipment — </w:t>
      </w:r>
      <w:r>
        <w:rPr>
          <w:rFonts w:ascii="Arial" w:cs="Arial" w:eastAsia="Arial" w:hAnsi="Arial"/>
          <w:color w:val="4A3F38"/>
          <w:sz w:val="22"/>
          <w:szCs w:val="22"/>
        </w:rPr>
        <w:t xml:space="preserve">replacement cost ensures you receive current market value for a new equivalent camera body and lens system</w:t>
      </w:r>
    </w:p>
    <w:p>
      <w:pPr>
        <w:pStyle w:val="ListParagraph"/>
        <w:numPr>
          <w:ilvl w:val="0"/>
          <w:numId w:val="2"/>
        </w:numPr>
        <w:spacing w:after="60" w:before="60"/>
      </w:pPr>
      <w:r>
        <w:rPr>
          <w:rFonts w:ascii="Arial" w:cs="Arial" w:eastAsia="Arial" w:hAnsi="Arial"/>
          <w:b/>
          <w:bCs/>
          <w:color w:val="7D2840"/>
          <w:sz w:val="22"/>
          <w:szCs w:val="22"/>
        </w:rPr>
        <w:t xml:space="preserve">Sports equipment — </w:t>
      </w:r>
      <w:r>
        <w:rPr>
          <w:rFonts w:ascii="Arial" w:cs="Arial" w:eastAsia="Arial" w:hAnsi="Arial"/>
          <w:color w:val="4A3F38"/>
          <w:sz w:val="22"/>
          <w:szCs w:val="22"/>
        </w:rPr>
        <w:t xml:space="preserve">replacement cost protects against depreciation on bicycles, golf clubs, and ski gear that retain high replacement value</w:t>
      </w:r>
    </w:p>
    <w:p>
      <w:pPr>
        <w:pStyle w:val="ListParagraph"/>
        <w:numPr>
          <w:ilvl w:val="0"/>
          <w:numId w:val="2"/>
        </w:numPr>
        <w:spacing w:after="60" w:before="60"/>
      </w:pPr>
      <w:r>
        <w:rPr>
          <w:rFonts w:ascii="Arial" w:cs="Arial" w:eastAsia="Arial" w:hAnsi="Arial"/>
          <w:b/>
          <w:bCs/>
          <w:color w:val="7D2840"/>
          <w:sz w:val="22"/>
          <w:szCs w:val="22"/>
        </w:rPr>
        <w:t xml:space="preserve">Collectibles and antiques — </w:t>
      </w:r>
      <w:r>
        <w:rPr>
          <w:rFonts w:ascii="Arial" w:cs="Arial" w:eastAsia="Arial" w:hAnsi="Arial"/>
          <w:color w:val="4A3F38"/>
          <w:sz w:val="22"/>
          <w:szCs w:val="22"/>
        </w:rPr>
        <w:t xml:space="preserve">agreed value or appraised value is preferred; “replacement cost” is difficult to apply to unique or one-of-a-kind items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860B" w:sz="18"/>
              <w:bottom w:val="none" w:color="FFFFFF" w:sz="0"/>
              <w:right w:val="none" w:color="FFFFFF" w:sz="0"/>
            </w:tcBorders>
            <w:shd w:fill="FFFBEE" w:val="clear"/>
            <w:tcMar>
              <w:top w:type="dxa" w:w="110"/>
              <w:left w:type="dxa" w:w="200"/>
              <w:bottom w:type="dxa" w:w="110"/>
              <w:right w:type="dxa" w:w="160"/>
            </w:tcMar>
          </w:tcPr>
          <w:p>
            <w:pPr>
              <w:spacing w:after="60" w:before="0"/>
            </w:pPr>
            <w:r>
              <w:rPr>
                <w:rFonts w:ascii="Arial" w:cs="Arial" w:eastAsia="Arial" w:hAnsi="Arial"/>
                <w:b/>
                <w:bCs/>
                <w:caps/>
                <w:color w:val="8A6400"/>
                <w:sz w:val="19"/>
                <w:szCs w:val="19"/>
              </w:rPr>
              <w:t xml:space="preserve">Pair and Set Clause</w:t>
            </w:r>
          </w:p>
          <w:p>
            <w:pPr>
              <w:spacing w:after="0" w:before="0"/>
            </w:pPr>
            <w:r>
              <w:rPr>
                <w:rFonts w:ascii="Arial" w:cs="Arial" w:eastAsia="Arial" w:hAnsi="Arial"/>
                <w:color w:val="4A3800"/>
                <w:sz w:val="20"/>
                <w:szCs w:val="20"/>
              </w:rPr>
              <w:t xml:space="preserve">When one item from a pair or set is lost — such as a single earring, a matching vase, or a component of a chess set — replacement cost coverage should address the full cost of replacing the set or pair. Review your policy’s pair and set clause to understand how partial losses to sets are handled.</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7D2840" w:sz="18"/>
              <w:bottom w:val="none" w:color="FFFFFF" w:sz="0"/>
              <w:right w:val="none" w:color="FFFFFF" w:sz="0"/>
            </w:tcBorders>
            <w:shd w:fill="FAF0F3" w:val="clear"/>
            <w:tcMar>
              <w:top w:type="dxa" w:w="110"/>
              <w:left w:type="dxa" w:w="200"/>
              <w:bottom w:type="dxa" w:w="110"/>
              <w:right w:type="dxa" w:w="160"/>
            </w:tcMar>
          </w:tcPr>
          <w:p>
            <w:pPr>
              <w:spacing w:after="0" w:before="0"/>
            </w:pPr>
            <w:r>
              <w:rPr>
                <w:rFonts w:ascii="Arial" w:cs="Arial" w:eastAsia="Arial" w:hAnsi="Arial"/>
                <w:b/>
                <w:bCs/>
                <w:color w:val="5C1A2E"/>
                <w:sz w:val="20"/>
                <w:szCs w:val="20"/>
              </w:rPr>
              <w:t xml:space="preserve">Key Takeaway: </w:t>
            </w:r>
            <w:r>
              <w:rPr>
                <w:rFonts w:ascii="Arial" w:cs="Arial" w:eastAsia="Arial" w:hAnsi="Arial"/>
                <w:color w:val="4A3F38"/>
                <w:sz w:val="20"/>
                <w:szCs w:val="20"/>
              </w:rPr>
              <w:t xml:space="preserve">For most personal articles policies, agreed value and replacement cost converge on the same practical outcome: full payment without depreciation. The key is to ensure your scheduled value is current and reflects today’s replacement cost — not the price you paid years ago.</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5C1A2E" w:val="clear"/>
            <w:tcMar>
              <w:top w:type="dxa" w:w="160"/>
              <w:left w:type="dxa" w:w="240"/>
              <w:bottom w:type="dxa" w:w="160"/>
              <w:right w:type="dxa" w:w="240"/>
            </w:tcMar>
          </w:tcPr>
          <w:p>
            <w:pPr>
              <w:spacing w:after="0" w:before="0"/>
            </w:pPr>
            <w:r>
              <w:rPr>
                <w:rFonts w:ascii="Arial" w:cs="Arial" w:eastAsia="Arial" w:hAnsi="Arial"/>
                <w:b/>
                <w:bCs/>
                <w:color w:val="E8C4CE"/>
                <w:sz w:val="28"/>
                <w:szCs w:val="28"/>
              </w:rPr>
              <w:t xml:space="preserve">9.  </w:t>
            </w:r>
            <w:r>
              <w:rPr>
                <w:rFonts w:ascii="Arial" w:cs="Arial" w:eastAsia="Arial" w:hAnsi="Arial"/>
                <w:b/>
                <w:bCs/>
                <w:color w:val="FFFFFF"/>
                <w:sz w:val="28"/>
                <w:szCs w:val="28"/>
              </w:rPr>
              <w:t xml:space="preserve">Worldwide Coverage in Personal Articles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E1A18"/>
          <w:sz w:val="22"/>
          <w:szCs w:val="22"/>
        </w:rPr>
        <w:t xml:space="preserve">One of the most important and often underappreciated features of personal articles insurance is its worldwide coverage provision. Unlike standard homeowners insurance, which typically limits personal property coverage to losses occurring at or near the insured premises, personal articles insurance follows your possessions everywhere in the world they travel.</w:t>
      </w:r>
    </w:p>
    <w:p>
      <w:pPr>
        <w:spacing w:after="0" w:before="100"/>
      </w:pPr>
      <w:r>
        <w:rPr>
          <w:rFonts w:ascii="Arial" w:cs="Arial" w:eastAsia="Arial" w:hAnsi="Arial"/>
        </w:rPr>
        <w:t xml:space="preserve"/>
      </w:r>
    </w:p>
    <w:p>
      <w:pPr>
        <w:pBdr>
          <w:bottom w:val="single" w:color="E8C4CE" w:sz="4" w:space="4"/>
        </w:pBdr>
        <w:spacing w:after="80" w:before="220"/>
      </w:pPr>
      <w:r>
        <w:rPr>
          <w:rFonts w:ascii="Arial" w:cs="Arial" w:eastAsia="Arial" w:hAnsi="Arial"/>
          <w:b/>
          <w:bCs/>
          <w:color w:val="5C1A2E"/>
          <w:sz w:val="24"/>
          <w:szCs w:val="24"/>
        </w:rPr>
        <w:t xml:space="preserve">What Worldwide Coverage Means</w:t>
      </w:r>
    </w:p>
    <w:p>
      <w:pPr>
        <w:spacing w:after="110" w:before="80"/>
      </w:pPr>
      <w:r>
        <w:rPr>
          <w:rFonts w:ascii="Arial" w:cs="Arial" w:eastAsia="Arial" w:hAnsi="Arial"/>
          <w:color w:val="1E1A18"/>
          <w:sz w:val="22"/>
          <w:szCs w:val="22"/>
        </w:rPr>
        <w:t xml:space="preserve">Worldwide coverage means that a scheduled item is protected against covered losses regardless of where in the world the loss occurs. Whether you are wearing your engagement ring in Paris, carrying your camera through Tokyo, storing your violin in a hotel safe in London, or traveling with your watch collection to an auction in New York, your personal articles policy provides the same protection it would at your home address.</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At Home</w:t>
            </w:r>
          </w:p>
          <w:p>
            <w:pPr>
              <w:spacing w:after="0" w:before="0"/>
            </w:pPr>
            <w:r>
              <w:rPr>
                <w:rFonts w:ascii="Arial" w:cs="Arial" w:eastAsia="Arial" w:hAnsi="Arial"/>
                <w:color w:val="4A3F38"/>
                <w:sz w:val="20"/>
                <w:szCs w:val="20"/>
              </w:rPr>
              <w:t xml:space="preserve">Full coverage at your primary residence, vacation homes, and storage locations — protecting against theft, accidental damage, fire, and other covered perils.</w:t>
            </w:r>
          </w:p>
        </w:tc>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In Transit</w:t>
            </w:r>
          </w:p>
          <w:p>
            <w:pPr>
              <w:spacing w:after="0" w:before="0"/>
            </w:pPr>
            <w:r>
              <w:rPr>
                <w:rFonts w:ascii="Arial" w:cs="Arial" w:eastAsia="Arial" w:hAnsi="Arial"/>
                <w:color w:val="4A3F38"/>
                <w:sz w:val="20"/>
                <w:szCs w:val="20"/>
              </w:rPr>
              <w:t xml:space="preserve">Items are covered while being shipped, transported in a vehicle, or carried as baggage during air travel — providing protection during the period of greatest vulnerability for many valuables.</w:t>
            </w:r>
          </w:p>
        </w:tc>
      </w:tr>
      <w:tr>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While Traveling Domestically</w:t>
            </w:r>
          </w:p>
          <w:p>
            <w:pPr>
              <w:spacing w:after="0" w:before="0"/>
            </w:pPr>
            <w:r>
              <w:rPr>
                <w:rFonts w:ascii="Arial" w:cs="Arial" w:eastAsia="Arial" w:hAnsi="Arial"/>
                <w:color w:val="4A3F38"/>
                <w:sz w:val="20"/>
                <w:szCs w:val="20"/>
              </w:rPr>
              <w:t xml:space="preserve">Items carried or worn while traveling within the United States are fully covered, including hotel stays, events, and visits to other residences.</w:t>
            </w:r>
          </w:p>
        </w:tc>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While Traveling Internationally</w:t>
            </w:r>
          </w:p>
          <w:p>
            <w:pPr>
              <w:spacing w:after="0" w:before="0"/>
            </w:pPr>
            <w:r>
              <w:rPr>
                <w:rFonts w:ascii="Arial" w:cs="Arial" w:eastAsia="Arial" w:hAnsi="Arial"/>
                <w:color w:val="4A3F38"/>
                <w:sz w:val="20"/>
                <w:szCs w:val="20"/>
              </w:rPr>
              <w:t xml:space="preserve">Items taken abroad for personal use are covered during international travel, vacations, and business trips — protection that standard homeowners and travel insurance policies typically do not provide for high-value items.</w:t>
            </w:r>
          </w:p>
        </w:tc>
      </w:tr>
      <w:tr>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In Storage</w:t>
            </w:r>
          </w:p>
          <w:p>
            <w:pPr>
              <w:spacing w:after="0" w:before="0"/>
            </w:pPr>
            <w:r>
              <w:rPr>
                <w:rFonts w:ascii="Arial" w:cs="Arial" w:eastAsia="Arial" w:hAnsi="Arial"/>
                <w:color w:val="4A3F38"/>
                <w:sz w:val="20"/>
                <w:szCs w:val="20"/>
              </w:rPr>
              <w:t xml:space="preserve">Items in commercial storage facilities, safe deposit boxes, or other off-premises locations are covered under the personal articles policy.</w:t>
            </w:r>
          </w:p>
        </w:tc>
        <w:tc>
          <w:tcPr>
            <w:tcW w:type="dxa" w:w="4620"/>
            <w:tcBorders>
              <w:top w:val="single" w:color="D4C8C0" w:sz="1"/>
              <w:left w:val="single" w:color="D4C8C0" w:sz="1"/>
              <w:bottom w:val="single" w:color="D4C8C0" w:sz="1"/>
              <w:right w:val="single" w:color="D4C8C0" w:sz="1"/>
            </w:tcBorders>
            <w:shd w:fill="F6F4F1" w:val="clear"/>
            <w:tcMar>
              <w:top w:type="dxa" w:w="110"/>
              <w:left w:type="dxa" w:w="160"/>
              <w:bottom w:type="dxa" w:w="110"/>
              <w:right w:type="dxa" w:w="160"/>
            </w:tcMar>
          </w:tcPr>
          <w:p>
            <w:pPr>
              <w:spacing w:after="60" w:before="0"/>
            </w:pPr>
            <w:r>
              <w:rPr>
                <w:rFonts w:ascii="Arial" w:cs="Arial" w:eastAsia="Arial" w:hAnsi="Arial"/>
                <w:b/>
                <w:bCs/>
                <w:color w:val="7D2840"/>
                <w:sz w:val="19"/>
                <w:szCs w:val="19"/>
              </w:rPr>
              <w:t xml:space="preserve">At Third-Party Locations</w:t>
            </w:r>
          </w:p>
          <w:p>
            <w:pPr>
              <w:spacing w:after="0" w:before="0"/>
            </w:pPr>
            <w:r>
              <w:rPr>
                <w:rFonts w:ascii="Arial" w:cs="Arial" w:eastAsia="Arial" w:hAnsi="Arial"/>
                <w:color w:val="4A3F38"/>
                <w:sz w:val="20"/>
                <w:szCs w:val="20"/>
              </w:rPr>
              <w:t xml:space="preserve">Items loaned to a friend or family member, left at a jeweler for repair, or stored at an auction house are covered against covered perils.</w:t>
            </w:r>
          </w:p>
        </w:tc>
      </w:tr>
    </w:tbl>
    <w:p>
      <w:pPr>
        <w:spacing w:after="0" w:before="100"/>
      </w:pPr>
      <w:r>
        <w:rPr>
          <w:rFonts w:ascii="Arial" w:cs="Arial" w:eastAsia="Arial" w:hAnsi="Arial"/>
        </w:rPr>
        <w:t xml:space="preserve"/>
      </w:r>
    </w:p>
    <w:p>
      <w:pPr>
        <w:pBdr>
          <w:bottom w:val="single" w:color="E8C4CE" w:sz="4" w:space="4"/>
        </w:pBdr>
        <w:spacing w:after="80" w:before="220"/>
      </w:pPr>
      <w:r>
        <w:rPr>
          <w:rFonts w:ascii="Arial" w:cs="Arial" w:eastAsia="Arial" w:hAnsi="Arial"/>
          <w:b/>
          <w:bCs/>
          <w:color w:val="5C1A2E"/>
          <w:sz w:val="24"/>
          <w:szCs w:val="24"/>
        </w:rPr>
        <w:t xml:space="preserve">Common Travel-Related Losses Covered</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7D2840"/>
          <w:sz w:val="22"/>
          <w:szCs w:val="22"/>
        </w:rPr>
        <w:t xml:space="preserve">Hotel room theft — </w:t>
      </w:r>
      <w:r>
        <w:rPr>
          <w:rFonts w:ascii="Arial" w:cs="Arial" w:eastAsia="Arial" w:hAnsi="Arial"/>
          <w:color w:val="4A3F38"/>
          <w:sz w:val="22"/>
          <w:szCs w:val="22"/>
        </w:rPr>
        <w:t xml:space="preserve">one of the most common international travel losses; jewelry and electronics stolen from hotel rooms are covered under personal articles insurance</w:t>
      </w:r>
    </w:p>
    <w:p>
      <w:pPr>
        <w:pStyle w:val="ListParagraph"/>
        <w:numPr>
          <w:ilvl w:val="0"/>
          <w:numId w:val="2"/>
        </w:numPr>
        <w:spacing w:after="60" w:before="60"/>
      </w:pPr>
      <w:r>
        <w:rPr>
          <w:rFonts w:ascii="Arial" w:cs="Arial" w:eastAsia="Arial" w:hAnsi="Arial"/>
          <w:b/>
          <w:bCs/>
          <w:color w:val="7D2840"/>
          <w:sz w:val="22"/>
          <w:szCs w:val="22"/>
        </w:rPr>
        <w:t xml:space="preserve">Pickpocket theft abroad — </w:t>
      </w:r>
      <w:r>
        <w:rPr>
          <w:rFonts w:ascii="Arial" w:cs="Arial" w:eastAsia="Arial" w:hAnsi="Arial"/>
          <w:color w:val="4A3F38"/>
          <w:sz w:val="22"/>
          <w:szCs w:val="22"/>
        </w:rPr>
        <w:t xml:space="preserve">theft of jewelry, watches, or cameras by pickpockets or street crime during international travel</w:t>
      </w:r>
    </w:p>
    <w:p>
      <w:pPr>
        <w:pStyle w:val="ListParagraph"/>
        <w:numPr>
          <w:ilvl w:val="0"/>
          <w:numId w:val="2"/>
        </w:numPr>
        <w:spacing w:after="60" w:before="60"/>
      </w:pPr>
      <w:r>
        <w:rPr>
          <w:rFonts w:ascii="Arial" w:cs="Arial" w:eastAsia="Arial" w:hAnsi="Arial"/>
          <w:b/>
          <w:bCs/>
          <w:color w:val="7D2840"/>
          <w:sz w:val="22"/>
          <w:szCs w:val="22"/>
        </w:rPr>
        <w:t xml:space="preserve">Luggage loss — </w:t>
      </w:r>
      <w:r>
        <w:rPr>
          <w:rFonts w:ascii="Arial" w:cs="Arial" w:eastAsia="Arial" w:hAnsi="Arial"/>
          <w:color w:val="4A3F38"/>
          <w:sz w:val="22"/>
          <w:szCs w:val="22"/>
        </w:rPr>
        <w:t xml:space="preserve">items lost when airlines misplace checked baggage — though note that airline liability is limited and is separate from insurance coverage</w:t>
      </w:r>
    </w:p>
    <w:p>
      <w:pPr>
        <w:pStyle w:val="ListParagraph"/>
        <w:numPr>
          <w:ilvl w:val="0"/>
          <w:numId w:val="2"/>
        </w:numPr>
        <w:spacing w:after="60" w:before="60"/>
      </w:pPr>
      <w:r>
        <w:rPr>
          <w:rFonts w:ascii="Arial" w:cs="Arial" w:eastAsia="Arial" w:hAnsi="Arial"/>
          <w:b/>
          <w:bCs/>
          <w:color w:val="7D2840"/>
          <w:sz w:val="22"/>
          <w:szCs w:val="22"/>
        </w:rPr>
        <w:t xml:space="preserve">Accidental damage abroad — </w:t>
      </w:r>
      <w:r>
        <w:rPr>
          <w:rFonts w:ascii="Arial" w:cs="Arial" w:eastAsia="Arial" w:hAnsi="Arial"/>
          <w:color w:val="4A3F38"/>
          <w:sz w:val="22"/>
          <w:szCs w:val="22"/>
        </w:rPr>
        <w:t xml:space="preserve">a camera dropped on cobblestones in Europe, a watch damaged during a water activity, a bracelet broken during travel</w:t>
      </w:r>
    </w:p>
    <w:p>
      <w:pPr>
        <w:pStyle w:val="ListParagraph"/>
        <w:numPr>
          <w:ilvl w:val="0"/>
          <w:numId w:val="2"/>
        </w:numPr>
        <w:spacing w:after="60" w:before="60"/>
      </w:pPr>
      <w:r>
        <w:rPr>
          <w:rFonts w:ascii="Arial" w:cs="Arial" w:eastAsia="Arial" w:hAnsi="Arial"/>
          <w:b/>
          <w:bCs/>
          <w:color w:val="7D2840"/>
          <w:sz w:val="22"/>
          <w:szCs w:val="22"/>
        </w:rPr>
        <w:t xml:space="preserve">Mysterious disappearance — </w:t>
      </w:r>
      <w:r>
        <w:rPr>
          <w:rFonts w:ascii="Arial" w:cs="Arial" w:eastAsia="Arial" w:hAnsi="Arial"/>
          <w:color w:val="4A3F38"/>
          <w:sz w:val="22"/>
          <w:szCs w:val="22"/>
        </w:rPr>
        <w:t xml:space="preserve">an item that simply cannot be located after international travel — a common and otherwise uninsured type of loss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F5C5C" w:sz="18"/>
              <w:bottom w:val="none" w:color="FFFFFF" w:sz="0"/>
              <w:right w:val="none" w:color="FFFFFF" w:sz="0"/>
            </w:tcBorders>
            <w:shd w:fill="EAF5F5" w:val="clear"/>
            <w:tcMar>
              <w:top w:type="dxa" w:w="110"/>
              <w:left w:type="dxa" w:w="200"/>
              <w:bottom w:type="dxa" w:w="110"/>
              <w:right w:type="dxa" w:w="160"/>
            </w:tcMar>
          </w:tcPr>
          <w:p>
            <w:pPr>
              <w:spacing w:after="60" w:before="0"/>
            </w:pPr>
            <w:r>
              <w:rPr>
                <w:rFonts w:ascii="Arial" w:cs="Arial" w:eastAsia="Arial" w:hAnsi="Arial"/>
                <w:b/>
                <w:bCs/>
                <w:caps/>
                <w:color w:val="0F5C5C"/>
                <w:sz w:val="19"/>
                <w:szCs w:val="19"/>
              </w:rPr>
              <w:t xml:space="preserve">Travel Coverage Example</w:t>
            </w:r>
          </w:p>
          <w:p>
            <w:pPr>
              <w:spacing w:after="0" w:before="0"/>
            </w:pPr>
            <w:r>
              <w:rPr>
                <w:rFonts w:ascii="Arial" w:cs="Arial" w:eastAsia="Arial" w:hAnsi="Arial"/>
                <w:color w:val="0A3030"/>
                <w:sz w:val="20"/>
                <w:szCs w:val="20"/>
              </w:rPr>
              <w:t xml:space="preserve">A traveler takes a $15,000 watch on a European vacation. The watch is stolen from the hotel room in Italy. The traveler’s standard homeowners policy limits coverage to $2,500 for jewelry/watches and may not cover off-premises theft. A personal articles floater covers the full $15,000 scheduled value — regardless of where in the world the loss occurred.</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860B" w:sz="18"/>
              <w:bottom w:val="none" w:color="FFFFFF" w:sz="0"/>
              <w:right w:val="none" w:color="FFFFFF" w:sz="0"/>
            </w:tcBorders>
            <w:shd w:fill="FFFBEE" w:val="clear"/>
            <w:tcMar>
              <w:top w:type="dxa" w:w="110"/>
              <w:left w:type="dxa" w:w="200"/>
              <w:bottom w:type="dxa" w:w="110"/>
              <w:right w:type="dxa" w:w="160"/>
            </w:tcMar>
          </w:tcPr>
          <w:p>
            <w:pPr>
              <w:spacing w:after="60" w:before="0"/>
            </w:pPr>
            <w:r>
              <w:rPr>
                <w:rFonts w:ascii="Arial" w:cs="Arial" w:eastAsia="Arial" w:hAnsi="Arial"/>
                <w:b/>
                <w:bCs/>
                <w:caps/>
                <w:color w:val="8A6400"/>
                <w:sz w:val="19"/>
                <w:szCs w:val="19"/>
              </w:rPr>
              <w:t xml:space="preserve">Customs and Import Considerations</w:t>
            </w:r>
          </w:p>
          <w:p>
            <w:pPr>
              <w:spacing w:after="0" w:before="0"/>
            </w:pPr>
            <w:r>
              <w:rPr>
                <w:rFonts w:ascii="Arial" w:cs="Arial" w:eastAsia="Arial" w:hAnsi="Arial"/>
                <w:color w:val="4A3800"/>
                <w:sz w:val="20"/>
                <w:szCs w:val="20"/>
              </w:rPr>
              <w:t xml:space="preserve">When traveling internationally with high-value personal articles, be aware of customs regulations and declaration requirements. Some countries require declarations for items above certain values when entering or departing. Failure to declare items properly can create legal complications, though it does not typically affect insurance coverage.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7D2840" w:sz="18"/>
              <w:bottom w:val="none" w:color="FFFFFF" w:sz="0"/>
              <w:right w:val="none" w:color="FFFFFF" w:sz="0"/>
            </w:tcBorders>
            <w:shd w:fill="FAF0F3" w:val="clear"/>
            <w:tcMar>
              <w:top w:type="dxa" w:w="110"/>
              <w:left w:type="dxa" w:w="200"/>
              <w:bottom w:type="dxa" w:w="110"/>
              <w:right w:type="dxa" w:w="160"/>
            </w:tcMar>
          </w:tcPr>
          <w:p>
            <w:pPr>
              <w:spacing w:after="0" w:before="0"/>
            </w:pPr>
            <w:r>
              <w:rPr>
                <w:rFonts w:ascii="Arial" w:cs="Arial" w:eastAsia="Arial" w:hAnsi="Arial"/>
                <w:b/>
                <w:bCs/>
                <w:color w:val="5C1A2E"/>
                <w:sz w:val="20"/>
                <w:szCs w:val="20"/>
              </w:rPr>
              <w:t xml:space="preserve">Key Takeaway: </w:t>
            </w:r>
            <w:r>
              <w:rPr>
                <w:rFonts w:ascii="Arial" w:cs="Arial" w:eastAsia="Arial" w:hAnsi="Arial"/>
                <w:color w:val="4A3F38"/>
                <w:sz w:val="20"/>
                <w:szCs w:val="20"/>
              </w:rPr>
              <w:t xml:space="preserve">Worldwide coverage is one of the most powerful features of personal articles insurance. Your most valuable possessions are often most at risk when you take them away from home. The peace of mind of knowing your jewelry, watch, or camera is protected everywhere in the world is invaluable.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5C1A2E" w:val="clear"/>
            <w:tcMar>
              <w:top w:type="dxa" w:w="160"/>
              <w:left w:type="dxa" w:w="240"/>
              <w:bottom w:type="dxa" w:w="160"/>
              <w:right w:type="dxa" w:w="240"/>
            </w:tcMar>
          </w:tcPr>
          <w:p>
            <w:pPr>
              <w:spacing w:after="0" w:before="0"/>
            </w:pPr>
            <w:r>
              <w:rPr>
                <w:rFonts w:ascii="Arial" w:cs="Arial" w:eastAsia="Arial" w:hAnsi="Arial"/>
                <w:b/>
                <w:bCs/>
                <w:color w:val="E8C4CE"/>
                <w:sz w:val="28"/>
                <w:szCs w:val="28"/>
              </w:rPr>
              <w:t xml:space="preserve">10.  </w:t>
            </w:r>
            <w:r>
              <w:rPr>
                <w:rFonts w:ascii="Arial" w:cs="Arial" w:eastAsia="Arial" w:hAnsi="Arial"/>
                <w:b/>
                <w:bCs/>
                <w:color w:val="FFFFFF"/>
                <w:sz w:val="28"/>
                <w:szCs w:val="28"/>
              </w:rPr>
              <w:t xml:space="preserve">Role of Personal Articles Insurance in a Total Insurance Program</w:t>
            </w:r>
          </w:p>
        </w:tc>
      </w:tr>
    </w:tbl>
    <w:p>
      <w:pPr>
        <w:spacing w:after="0" w:before="100"/>
      </w:pPr>
      <w:r>
        <w:rPr>
          <w:rFonts w:ascii="Arial" w:cs="Arial" w:eastAsia="Arial" w:hAnsi="Arial"/>
        </w:rPr>
        <w:t xml:space="preserve"/>
      </w:r>
    </w:p>
    <w:p>
      <w:pPr>
        <w:spacing w:after="110" w:before="80"/>
      </w:pPr>
      <w:r>
        <w:rPr>
          <w:rFonts w:ascii="Arial" w:cs="Arial" w:eastAsia="Arial" w:hAnsi="Arial"/>
          <w:color w:val="1E1A18"/>
          <w:sz w:val="22"/>
          <w:szCs w:val="22"/>
        </w:rPr>
        <w:t xml:space="preserve">Personal articles insurance does not stand alone — it is one essential component of a well-structured personal insurance program. Understanding how it complements your other coverages, fills the gaps that standard policies leave open, and integrates with your overall risk management strategy is the key to building truly comprehensive protection.</w:t>
      </w:r>
    </w:p>
    <w:p>
      <w:pPr>
        <w:spacing w:after="0" w:before="100"/>
      </w:pPr>
      <w:r>
        <w:rPr>
          <w:rFonts w:ascii="Arial" w:cs="Arial" w:eastAsia="Arial" w:hAnsi="Arial"/>
        </w:rPr>
        <w:t xml:space="preserve"/>
      </w:r>
    </w:p>
    <w:p>
      <w:pPr>
        <w:pBdr>
          <w:bottom w:val="single" w:color="E8C4CE" w:sz="4" w:space="4"/>
        </w:pBdr>
        <w:spacing w:after="80" w:before="220"/>
      </w:pPr>
      <w:r>
        <w:rPr>
          <w:rFonts w:ascii="Arial" w:cs="Arial" w:eastAsia="Arial" w:hAnsi="Arial"/>
          <w:b/>
          <w:bCs/>
          <w:color w:val="5C1A2E"/>
          <w:sz w:val="24"/>
          <w:szCs w:val="24"/>
        </w:rPr>
        <w:t xml:space="preserve">How Personal Articles Fits the Complete Program</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shd w:fill="5C1A2E"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Personal Umbrella</w:t>
            </w:r>
          </w:p>
        </w:tc>
        <w:tc>
          <w:tcPr>
            <w:tcW w:type="dxa" w:w="6360"/>
            <w:tcBorders>
              <w:top w:val="single" w:color="D4C8C0" w:sz="1"/>
              <w:left w:val="single" w:color="D4C8C0" w:sz="1"/>
              <w:bottom w:val="single" w:color="D4C8C0" w:sz="1"/>
              <w:right w:val="single" w:color="D4C8C0" w:sz="1"/>
            </w:tcBorders>
            <w:shd w:fill="F6F4F1" w:val="clear"/>
            <w:tcMar>
              <w:top w:type="dxa" w:w="100"/>
              <w:left w:type="dxa" w:w="160"/>
              <w:bottom w:type="dxa" w:w="100"/>
              <w:right w:type="dxa" w:w="160"/>
            </w:tcMar>
          </w:tcPr>
          <w:p>
            <w:pPr>
              <w:spacing w:after="0" w:before="0"/>
            </w:pPr>
            <w:r>
              <w:rPr>
                <w:rFonts w:ascii="Arial" w:cs="Arial" w:eastAsia="Arial" w:hAnsi="Arial"/>
                <w:color w:val="4A3F38"/>
                <w:sz w:val="20"/>
                <w:szCs w:val="20"/>
              </w:rPr>
              <w:t xml:space="preserve">Broad personal liability above homeowners and auto liability limits. Protects assets from large judgments.</w:t>
            </w:r>
          </w:p>
        </w:tc>
      </w:tr>
      <w:tr>
        <w:tc>
          <w:tcPr>
            <w:tcW w:type="dxa" w:w="3000"/>
            <w:tcBorders>
              <w:top w:val="none" w:color="FFFFFF" w:sz="0"/>
              <w:left w:val="none" w:color="FFFFFF" w:sz="0"/>
              <w:bottom w:val="none" w:color="FFFFFF" w:sz="0"/>
              <w:right w:val="none" w:color="FFFFFF" w:sz="0"/>
            </w:tcBorders>
            <w:shd w:fill="7D284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Personal Articles Policy</w:t>
            </w:r>
          </w:p>
        </w:tc>
        <w:tc>
          <w:tcPr>
            <w:tcW w:type="dxa" w:w="6360"/>
            <w:tcBorders>
              <w:top w:val="single" w:color="D4C8C0" w:sz="1"/>
              <w:left w:val="single" w:color="D4C8C0" w:sz="1"/>
              <w:bottom w:val="single" w:color="D4C8C0" w:sz="1"/>
              <w:right w:val="single" w:color="D4C8C0" w:sz="1"/>
            </w:tcBorders>
            <w:shd w:fill="FFFFFF" w:val="clear"/>
            <w:tcMar>
              <w:top w:type="dxa" w:w="100"/>
              <w:left w:type="dxa" w:w="160"/>
              <w:bottom w:type="dxa" w:w="100"/>
              <w:right w:type="dxa" w:w="160"/>
            </w:tcMar>
          </w:tcPr>
          <w:p>
            <w:pPr>
              <w:spacing w:after="0" w:before="0"/>
            </w:pPr>
            <w:r>
              <w:rPr>
                <w:rFonts w:ascii="Arial" w:cs="Arial" w:eastAsia="Arial" w:hAnsi="Arial"/>
                <w:color w:val="4A3F38"/>
                <w:sz w:val="20"/>
                <w:szCs w:val="20"/>
              </w:rPr>
              <w:t xml:space="preserve">Scheduled coverage for high-value items at agreed value, with worldwide protection and no deductible. Fills the gap homeowners leaves for valuables.</w:t>
            </w:r>
          </w:p>
        </w:tc>
      </w:tr>
      <w:tr>
        <w:tc>
          <w:tcPr>
            <w:tcW w:type="dxa" w:w="3000"/>
            <w:tcBorders>
              <w:top w:val="none" w:color="FFFFFF" w:sz="0"/>
              <w:left w:val="none" w:color="FFFFFF" w:sz="0"/>
              <w:bottom w:val="none" w:color="FFFFFF" w:sz="0"/>
              <w:right w:val="none" w:color="FFFFFF" w:sz="0"/>
            </w:tcBorders>
            <w:shd w:fill="2C3A4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Homeowners Policy</w:t>
            </w:r>
          </w:p>
        </w:tc>
        <w:tc>
          <w:tcPr>
            <w:tcW w:type="dxa" w:w="6360"/>
            <w:tcBorders>
              <w:top w:val="single" w:color="D4C8C0" w:sz="1"/>
              <w:left w:val="single" w:color="D4C8C0" w:sz="1"/>
              <w:bottom w:val="single" w:color="D4C8C0" w:sz="1"/>
              <w:right w:val="single" w:color="D4C8C0" w:sz="1"/>
            </w:tcBorders>
            <w:shd w:fill="F6F4F1" w:val="clear"/>
            <w:tcMar>
              <w:top w:type="dxa" w:w="100"/>
              <w:left w:type="dxa" w:w="160"/>
              <w:bottom w:type="dxa" w:w="100"/>
              <w:right w:type="dxa" w:w="160"/>
            </w:tcMar>
          </w:tcPr>
          <w:p>
            <w:pPr>
              <w:spacing w:after="0" w:before="0"/>
            </w:pPr>
            <w:r>
              <w:rPr>
                <w:rFonts w:ascii="Arial" w:cs="Arial" w:eastAsia="Arial" w:hAnsi="Arial"/>
                <w:color w:val="4A3F38"/>
                <w:sz w:val="20"/>
                <w:szCs w:val="20"/>
              </w:rPr>
              <w:t xml:space="preserve">Covers the structure, broad personal property, and liability. Does not adequately protect high-value individual items due to sublimits and exclusions.</w:t>
            </w:r>
          </w:p>
        </w:tc>
      </w:tr>
      <w:tr>
        <w:tc>
          <w:tcPr>
            <w:tcW w:type="dxa" w:w="3000"/>
            <w:tcBorders>
              <w:top w:val="none" w:color="FFFFFF" w:sz="0"/>
              <w:left w:val="none" w:color="FFFFFF" w:sz="0"/>
              <w:bottom w:val="none" w:color="FFFFFF" w:sz="0"/>
              <w:right w:val="none" w:color="FFFFFF" w:sz="0"/>
            </w:tcBorders>
            <w:shd w:fill="0F5C5C"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Auto Policy</w:t>
            </w:r>
          </w:p>
        </w:tc>
        <w:tc>
          <w:tcPr>
            <w:tcW w:type="dxa" w:w="6360"/>
            <w:tcBorders>
              <w:top w:val="single" w:color="D4C8C0" w:sz="1"/>
              <w:left w:val="single" w:color="D4C8C0" w:sz="1"/>
              <w:bottom w:val="single" w:color="D4C8C0" w:sz="1"/>
              <w:right w:val="single" w:color="D4C8C0" w:sz="1"/>
            </w:tcBorders>
            <w:shd w:fill="FFFFFF" w:val="clear"/>
            <w:tcMar>
              <w:top w:type="dxa" w:w="100"/>
              <w:left w:type="dxa" w:w="160"/>
              <w:bottom w:type="dxa" w:w="100"/>
              <w:right w:type="dxa" w:w="160"/>
            </w:tcMar>
          </w:tcPr>
          <w:p>
            <w:pPr>
              <w:spacing w:after="0" w:before="0"/>
            </w:pPr>
            <w:r>
              <w:rPr>
                <w:rFonts w:ascii="Arial" w:cs="Arial" w:eastAsia="Arial" w:hAnsi="Arial"/>
                <w:color w:val="4A3F38"/>
                <w:sz w:val="20"/>
                <w:szCs w:val="20"/>
              </w:rPr>
              <w:t xml:space="preserve">Covers vehicles, auto liability, and passengers. Note: personal property inside a vehicle during theft may be covered by homeowners or personal articles — not auto.</w:t>
            </w:r>
          </w:p>
        </w:tc>
      </w:tr>
    </w:tbl>
    <w:p>
      <w:pPr>
        <w:spacing w:after="0" w:before="120"/>
      </w:pPr>
      <w:r>
        <w:rPr>
          <w:rFonts w:ascii="Arial" w:cs="Arial" w:eastAsia="Arial" w:hAnsi="Arial"/>
        </w:rPr>
        <w:t xml:space="preserve"/>
      </w:r>
    </w:p>
    <w:p>
      <w:pPr>
        <w:pBdr>
          <w:bottom w:val="single" w:color="E8C4CE" w:sz="4" w:space="4"/>
        </w:pBdr>
        <w:spacing w:after="80" w:before="220"/>
      </w:pPr>
      <w:r>
        <w:rPr>
          <w:rFonts w:ascii="Arial" w:cs="Arial" w:eastAsia="Arial" w:hAnsi="Arial"/>
          <w:b/>
          <w:bCs/>
          <w:color w:val="5C1A2E"/>
          <w:sz w:val="24"/>
          <w:szCs w:val="24"/>
        </w:rPr>
        <w:t xml:space="preserve">Annual Program Review Checklist for Personal Articles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7D2840"/>
          <w:sz w:val="22"/>
          <w:szCs w:val="22"/>
        </w:rPr>
        <w:t xml:space="preserve">Update appraisals every 2–3 years — </w:t>
      </w:r>
      <w:r>
        <w:rPr>
          <w:rFonts w:ascii="Arial" w:cs="Arial" w:eastAsia="Arial" w:hAnsi="Arial"/>
          <w:color w:val="4A3F38"/>
          <w:sz w:val="22"/>
          <w:szCs w:val="22"/>
        </w:rPr>
        <w:t xml:space="preserve">jewelry, art, and watch values change significantly over time; an outdated appraisal can leave you underinsured despite having a policy</w:t>
      </w:r>
    </w:p>
    <w:p>
      <w:pPr>
        <w:pStyle w:val="ListParagraph"/>
        <w:numPr>
          <w:ilvl w:val="0"/>
          <w:numId w:val="2"/>
        </w:numPr>
        <w:spacing w:after="60" w:before="60"/>
      </w:pPr>
      <w:r>
        <w:rPr>
          <w:rFonts w:ascii="Arial" w:cs="Arial" w:eastAsia="Arial" w:hAnsi="Arial"/>
          <w:b/>
          <w:bCs/>
          <w:color w:val="7D2840"/>
          <w:sz w:val="22"/>
          <w:szCs w:val="22"/>
        </w:rPr>
        <w:t xml:space="preserve">Add newly acquired items promptly — </w:t>
      </w:r>
      <w:r>
        <w:rPr>
          <w:rFonts w:ascii="Arial" w:cs="Arial" w:eastAsia="Arial" w:hAnsi="Arial"/>
          <w:color w:val="4A3F38"/>
          <w:sz w:val="22"/>
          <w:szCs w:val="22"/>
        </w:rPr>
        <w:t xml:space="preserve">engagement rings, inherited pieces, auction purchases, and gifts should be scheduled immediately — most policies provide a brief automatic coverage grace period but require formal scheduling for ongoing protection</w:t>
      </w:r>
    </w:p>
    <w:p>
      <w:pPr>
        <w:pStyle w:val="ListParagraph"/>
        <w:numPr>
          <w:ilvl w:val="0"/>
          <w:numId w:val="2"/>
        </w:numPr>
        <w:spacing w:after="60" w:before="60"/>
      </w:pPr>
      <w:r>
        <w:rPr>
          <w:rFonts w:ascii="Arial" w:cs="Arial" w:eastAsia="Arial" w:hAnsi="Arial"/>
          <w:b/>
          <w:bCs/>
          <w:color w:val="7D2840"/>
          <w:sz w:val="22"/>
          <w:szCs w:val="22"/>
        </w:rPr>
        <w:t xml:space="preserve">Review sublimits on homeowners policy — </w:t>
      </w:r>
      <w:r>
        <w:rPr>
          <w:rFonts w:ascii="Arial" w:cs="Arial" w:eastAsia="Arial" w:hAnsi="Arial"/>
          <w:color w:val="4A3F38"/>
          <w:sz w:val="22"/>
          <w:szCs w:val="22"/>
        </w:rPr>
        <w:t xml:space="preserve">periodically confirm that your homeowners sublimits and your personal articles scheduled values work together to cover your full collection</w:t>
      </w:r>
    </w:p>
    <w:p>
      <w:pPr>
        <w:pStyle w:val="ListParagraph"/>
        <w:numPr>
          <w:ilvl w:val="0"/>
          <w:numId w:val="2"/>
        </w:numPr>
        <w:spacing w:after="60" w:before="60"/>
      </w:pPr>
      <w:r>
        <w:rPr>
          <w:rFonts w:ascii="Arial" w:cs="Arial" w:eastAsia="Arial" w:hAnsi="Arial"/>
          <w:b/>
          <w:bCs/>
          <w:color w:val="7D2840"/>
          <w:sz w:val="22"/>
          <w:szCs w:val="22"/>
        </w:rPr>
        <w:t xml:space="preserve">Confirm worldwide coverage applies — </w:t>
      </w:r>
      <w:r>
        <w:rPr>
          <w:rFonts w:ascii="Arial" w:cs="Arial" w:eastAsia="Arial" w:hAnsi="Arial"/>
          <w:color w:val="4A3F38"/>
          <w:sz w:val="22"/>
          <w:szCs w:val="22"/>
        </w:rPr>
        <w:t xml:space="preserve">verify that your policy covers international travel, particularly for items you regularly take abroad</w:t>
      </w:r>
    </w:p>
    <w:p>
      <w:pPr>
        <w:pStyle w:val="ListParagraph"/>
        <w:numPr>
          <w:ilvl w:val="0"/>
          <w:numId w:val="2"/>
        </w:numPr>
        <w:spacing w:after="60" w:before="60"/>
      </w:pPr>
      <w:r>
        <w:rPr>
          <w:rFonts w:ascii="Arial" w:cs="Arial" w:eastAsia="Arial" w:hAnsi="Arial"/>
          <w:b/>
          <w:bCs/>
          <w:color w:val="7D2840"/>
          <w:sz w:val="22"/>
          <w:szCs w:val="22"/>
        </w:rPr>
        <w:t xml:space="preserve">Document your collection — </w:t>
      </w:r>
      <w:r>
        <w:rPr>
          <w:rFonts w:ascii="Arial" w:cs="Arial" w:eastAsia="Arial" w:hAnsi="Arial"/>
          <w:color w:val="4A3F38"/>
          <w:sz w:val="22"/>
          <w:szCs w:val="22"/>
        </w:rPr>
        <w:t xml:space="preserve">maintain a current inventory with photographs, serial numbers, certificates, and purchase records stored securely off-premises or in the cloud</w:t>
      </w:r>
    </w:p>
    <w:p>
      <w:pPr>
        <w:pStyle w:val="ListParagraph"/>
        <w:numPr>
          <w:ilvl w:val="0"/>
          <w:numId w:val="2"/>
        </w:numPr>
        <w:spacing w:after="60" w:before="60"/>
      </w:pPr>
      <w:r>
        <w:rPr>
          <w:rFonts w:ascii="Arial" w:cs="Arial" w:eastAsia="Arial" w:hAnsi="Arial"/>
          <w:b/>
          <w:bCs/>
          <w:color w:val="7D2840"/>
          <w:sz w:val="22"/>
          <w:szCs w:val="22"/>
        </w:rPr>
        <w:t xml:space="preserve">Review pair and set clause — </w:t>
      </w:r>
      <w:r>
        <w:rPr>
          <w:rFonts w:ascii="Arial" w:cs="Arial" w:eastAsia="Arial" w:hAnsi="Arial"/>
          <w:color w:val="4A3F38"/>
          <w:sz w:val="22"/>
          <w:szCs w:val="22"/>
        </w:rPr>
        <w:t xml:space="preserve">understand how your policy handles partial losses to pairs or sets of items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860B" w:sz="18"/>
              <w:bottom w:val="none" w:color="FFFFFF" w:sz="0"/>
              <w:right w:val="none" w:color="FFFFFF" w:sz="0"/>
            </w:tcBorders>
            <w:shd w:fill="FFFBEE" w:val="clear"/>
            <w:tcMar>
              <w:top w:type="dxa" w:w="110"/>
              <w:left w:type="dxa" w:w="200"/>
              <w:bottom w:type="dxa" w:w="110"/>
              <w:right w:type="dxa" w:w="160"/>
            </w:tcMar>
          </w:tcPr>
          <w:p>
            <w:pPr>
              <w:spacing w:after="60" w:before="0"/>
            </w:pPr>
            <w:r>
              <w:rPr>
                <w:rFonts w:ascii="Arial" w:cs="Arial" w:eastAsia="Arial" w:hAnsi="Arial"/>
                <w:b/>
                <w:bCs/>
                <w:caps/>
                <w:color w:val="8A6400"/>
                <w:sz w:val="19"/>
                <w:szCs w:val="19"/>
              </w:rPr>
              <w:t xml:space="preserve">High-Net-Worth Programs</w:t>
            </w:r>
          </w:p>
          <w:p>
            <w:pPr>
              <w:spacing w:after="0" w:before="0"/>
            </w:pPr>
            <w:r>
              <w:rPr>
                <w:rFonts w:ascii="Arial" w:cs="Arial" w:eastAsia="Arial" w:hAnsi="Arial"/>
                <w:color w:val="4A3800"/>
                <w:sz w:val="20"/>
                <w:szCs w:val="20"/>
              </w:rPr>
              <w:t xml:space="preserve">Property owners with extensive collections of jewelry, art, watches, or other valuables may benefit from a comprehensive high-net-worth personal lines program — such as those offered by Chubb, AIG Private Client Group, PURE Insurance, or Cincinnati Financial — which integrate homeowners, auto, umbrella, and personal articles coverage under a single program with superior terms and service.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7D2840" w:sz="18"/>
              <w:bottom w:val="none" w:color="FFFFFF" w:sz="0"/>
              <w:right w:val="none" w:color="FFFFFF" w:sz="0"/>
            </w:tcBorders>
            <w:shd w:fill="FAF0F3" w:val="clear"/>
            <w:tcMar>
              <w:top w:type="dxa" w:w="110"/>
              <w:left w:type="dxa" w:w="200"/>
              <w:bottom w:type="dxa" w:w="110"/>
              <w:right w:type="dxa" w:w="160"/>
            </w:tcMar>
          </w:tcPr>
          <w:p>
            <w:pPr>
              <w:spacing w:after="0" w:before="0"/>
            </w:pPr>
            <w:r>
              <w:rPr>
                <w:rFonts w:ascii="Arial" w:cs="Arial" w:eastAsia="Arial" w:hAnsi="Arial"/>
                <w:b/>
                <w:bCs/>
                <w:color w:val="5C1A2E"/>
                <w:sz w:val="20"/>
                <w:szCs w:val="20"/>
              </w:rPr>
              <w:t xml:space="preserve">Key Takeaway: </w:t>
            </w:r>
            <w:r>
              <w:rPr>
                <w:rFonts w:ascii="Arial" w:cs="Arial" w:eastAsia="Arial" w:hAnsi="Arial"/>
                <w:color w:val="4A3F38"/>
                <w:sz w:val="20"/>
                <w:szCs w:val="20"/>
              </w:rPr>
              <w:t xml:space="preserve">Personal articles insurance is the precision layer of your personal insurance program. Your homeowners policy is the broad foundation; personal articles coverage is the targeted protection that ensures your most treasured and valuable possessions are fully and correctly insured at all times and in all places.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5C1A2E" w:val="clear"/>
            <w:tcMar>
              <w:top w:type="dxa" w:w="240"/>
              <w:left w:type="dxa" w:w="320"/>
              <w:bottom w:type="dxa" w:w="240"/>
              <w:right w:type="dxa" w:w="320"/>
            </w:tcMar>
          </w:tcPr>
          <w:p>
            <w:pPr>
              <w:spacing w:after="120" w:before="0"/>
            </w:pPr>
            <w:r>
              <w:rPr>
                <w:rFonts w:ascii="Arial" w:cs="Arial" w:eastAsia="Arial" w:hAnsi="Arial"/>
                <w:b/>
                <w:bCs/>
                <w:color w:val="FFFFFF"/>
                <w:sz w:val="30"/>
                <w:szCs w:val="30"/>
              </w:rPr>
              <w:t xml:space="preserve">Protect What Matters Most — By Name, By Value, By Design.</w:t>
            </w:r>
          </w:p>
          <w:p>
            <w:pPr>
              <w:spacing w:after="100" w:before="0"/>
            </w:pPr>
            <w:r>
              <w:rPr>
                <w:rFonts w:ascii="Arial" w:cs="Arial" w:eastAsia="Arial" w:hAnsi="Arial"/>
                <w:color w:val="E8C4CE"/>
                <w:sz w:val="22"/>
                <w:szCs w:val="22"/>
              </w:rPr>
              <w:t xml:space="preserve">Your most treasured possessions deserve more than a line item in a generic insurance policy. Personal articles insurance gives each one the individual attention, precise valuation, and comprehensive protection it deserves — wherever life takes you.</w:t>
            </w:r>
          </w:p>
          <w:p>
            <w:pPr>
              <w:spacing w:after="0" w:before="0"/>
            </w:pPr>
            <w:r>
              <w:rPr>
                <w:rFonts w:ascii="Arial" w:cs="Arial" w:eastAsia="Arial" w:hAnsi="Arial"/>
                <w:b/>
                <w:bCs/>
                <w:color w:val="FFFFFF"/>
                <w:sz w:val="22"/>
                <w:szCs w:val="22"/>
              </w:rPr>
              <w:t xml:space="preserve">Contact Daly &amp; Alexander Insurance today at www.dalyandalexander.com</w:t>
            </w:r>
          </w:p>
        </w:tc>
      </w:tr>
    </w:tbl>
    <w:p>
      <w:pPr>
        <w:spacing w:after="0" w:before="200"/>
      </w:pPr>
      <w:r>
        <w:rPr>
          <w:rFonts w:ascii="Arial" w:cs="Arial" w:eastAsia="Arial" w:hAnsi="Arial"/>
        </w:rPr>
        <w:t xml:space="preserve"/>
      </w:r>
    </w:p>
    <w:p>
      <w:pPr>
        <w:pBdr>
          <w:top w:val="single" w:color="E4DFDA" w:sz="4" w:space="6"/>
        </w:pBdr>
        <w:spacing w:after="80" w:before="0"/>
      </w:pPr>
      <w:r>
        <w:rPr>
          <w:rFonts w:ascii="Arial" w:cs="Arial" w:eastAsia="Arial" w:hAnsi="Arial"/>
          <w:b/>
          <w:bCs/>
          <w:caps/>
          <w:color w:val="7A7068"/>
          <w:sz w:val="19"/>
          <w:szCs w:val="19"/>
        </w:rPr>
        <w:t xml:space="preserve">Disclaimer</w:t>
      </w:r>
    </w:p>
    <w:p>
      <w:pPr>
        <w:spacing w:after="120" w:before="0"/>
      </w:pPr>
      <w:r>
        <w:rPr>
          <w:rFonts w:ascii="Arial" w:cs="Arial" w:eastAsia="Arial" w:hAnsi="Arial"/>
          <w:color w:val="7A7068"/>
          <w:sz w:val="18"/>
          <w:szCs w:val="18"/>
        </w:rPr>
        <w:t xml:space="preserve">The information contained in this article is intended for general informational and educational purposes only and should not be construed as legal, financial, or insurance advice. It is the sole responsibility of the reader to carefully review their individual insurance policy — including all declarations pages, coverage forms, endorsements, exclusions, and conditions — to determine the exact scope of coverage applicable to their specific circumstances. Daly Insurance, Inc. and Daly &amp; Alexander Insurance make no representations or warranties of any kind regarding the completeness, accuracy, or reliability of any content published online or offline, and expressly disclaim all liability for any errors, omissions, inaccuracies, or outdated information. Coverage availability, terms, and pricing are subject to underwriting approval and vary by carrier, state, and individual circumstance.</w:t>
      </w:r>
    </w:p>
    <w:p>
      <w:pPr>
        <w:spacing w:after="0" w:before="80"/>
        <w:jc w:val="center"/>
      </w:pPr>
      <w:r>
        <w:rPr>
          <w:rFonts w:ascii="Arial" w:cs="Arial" w:eastAsia="Arial" w:hAnsi="Arial"/>
          <w:i/>
          <w:iCs/>
          <w:color w:val="7A7068"/>
          <w:sz w:val="18"/>
          <w:szCs w:val="18"/>
        </w:rPr>
        <w:t xml:space="preserve">Daly Insurance, Inc.  |  Daly &amp; Alexander Insurance  |  www.dalyandalexander.com  |  Licensed Insurance Professionals</w:t>
      </w:r>
    </w:p>
    <w:sectPr>
      <w:headerReference w:type="default" r:id="rId7"/>
      <w:footerReference w:type="default" r:id="rId8"/>
      <w:pgSz w:w="12240" w:h="15840" w:orient="portrait"/>
      <w:pgMar w:top="1440" w:right="1260" w:bottom="144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E8C4CE" w:sz="4" w:space="4"/>
      </w:pBdr>
      <w:spacing w:after="0" w:before="0"/>
    </w:pPr>
    <w:r>
      <w:rPr>
        <w:rFonts w:ascii="Arial" w:cs="Arial" w:eastAsia="Arial" w:hAnsi="Arial"/>
        <w:color w:val="7A7068"/>
        <w:sz w:val="16"/>
        <w:szCs w:val="16"/>
      </w:rPr>
      <w:t xml:space="preserve">Daly Insurance, Inc.  |  Daly &amp; Alexander Insurance  |  Licensed Insurance Professionals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E8C4CE" w:sz="4" w:space="6"/>
      </w:pBdr>
      <w:spacing w:after="0" w:before="0"/>
    </w:pPr>
    <w:r>
      <w:rPr>
        <w:rFonts w:ascii="Arial" w:cs="Arial" w:eastAsia="Arial" w:hAnsi="Arial"/>
        <w:b/>
        <w:bCs/>
        <w:color w:val="5C1A2E"/>
        <w:sz w:val="18"/>
        <w:szCs w:val="18"/>
      </w:rPr>
      <w:t xml:space="preserve">PERSONAL ARTICLES INSURANCE GUIDE</w:t>
    </w:r>
    <w:r>
      <w:rPr>
        <w:rFonts w:ascii="Arial" w:cs="Arial" w:eastAsia="Arial" w:hAnsi="Arial"/>
        <w:color w:val="7A7068"/>
        <w:sz w:val="18"/>
        <w:szCs w:val="18"/>
      </w:rPr>
      <w:t xml:space="preserve">   |   Daly &amp; Alexander Insurance  |  www.dalyandalexander.com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5C1A2E"/>
      <w:sz w:val="32"/>
      <w:szCs w:val="32"/>
    </w:rPr>
  </w:style>
  <w:style w:type="paragraph" w:styleId="Heading2">
    <w:name w:val="Heading 2"/>
    <w:basedOn w:val="Normal"/>
    <w:next w:val="Normal"/>
    <w:qFormat/>
    <w:pPr>
      <w:spacing w:after="80" w:before="240"/>
      <w:outlineLvl w:val="1"/>
    </w:pPr>
    <w:rPr>
      <w:rFonts w:ascii="Arial" w:cs="Arial" w:eastAsia="Arial" w:hAnsi="Arial"/>
      <w:b/>
      <w:bCs/>
      <w:color w:val="7D2840"/>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2026-05-06T03:51:57.472Z</dcterms:created>
  <dcterms:modified xsi:type="dcterms:W3CDTF">2026-05-06T03:51:57.488Z</dcterms:modified>
</cp:coreProperties>
</file>

<file path=docProps/custom.xml><?xml version="1.0" encoding="utf-8"?>
<Properties xmlns="http://schemas.openxmlformats.org/officeDocument/2006/custom-properties" xmlns:vt="http://schemas.openxmlformats.org/officeDocument/2006/docPropsVTypes"/>
</file>