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Bdr>
          <w:bottom w:val="single" w:color="B84020" w:sz="8" w:space="8"/>
        </w:pBdr>
        <w:spacing w:after="80" w:before="0"/>
        <w:jc w:val="center"/>
      </w:pPr>
      <w:r>
        <w:rPr>
          <w:rFonts w:ascii="Arial" w:cs="Arial" w:eastAsia="Arial" w:hAnsi="Arial"/>
          <w:b/>
          <w:bCs/>
          <w:color w:val="8B2E00"/>
          <w:sz w:val="44"/>
          <w:szCs w:val="44"/>
        </w:rPr>
        <w:t xml:space="preserve">VACATION RENTAL INSURANCE GUIDE</w:t>
      </w:r>
    </w:p>
    <w:p>
      <w:pPr>
        <w:spacing w:after="60" w:before="120"/>
        <w:jc w:val="center"/>
      </w:pPr>
      <w:r>
        <w:rPr>
          <w:rFonts w:ascii="Arial" w:cs="Arial" w:eastAsia="Arial" w:hAnsi="Arial"/>
          <w:i/>
          <w:iCs/>
          <w:color w:val="363C4A"/>
          <w:sz w:val="26"/>
          <w:szCs w:val="26"/>
        </w:rPr>
        <w:t xml:space="preserve">Coverage, Platforms &amp; Everything Short-Term Rental Hosts Need to Know</w:t>
      </w:r>
    </w:p>
    <w:p>
      <w:pPr>
        <w:spacing w:after="0" w:before="0"/>
        <w:jc w:val="center"/>
      </w:pPr>
      <w:r>
        <w:rPr>
          <w:rFonts w:ascii="Arial" w:cs="Arial" w:eastAsia="Arial" w:hAnsi="Arial"/>
          <w:color w:val="6A7080"/>
          <w:sz w:val="20"/>
          <w:szCs w:val="20"/>
        </w:rPr>
        <w:t xml:space="preserve">Daly &amp; Alexander Insurance  |  www.dalyandalexander.com</w:t>
      </w:r>
    </w:p>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B84020" w:sz="18"/>
              <w:bottom w:val="none" w:color="FFFFFF" w:sz="0"/>
              <w:right w:val="none" w:color="FFFFFF" w:sz="0"/>
            </w:tcBorders>
            <w:shd w:fill="FDF2EE" w:val="clear"/>
            <w:tcMar>
              <w:top w:type="dxa" w:w="140"/>
              <w:left w:type="dxa" w:w="240"/>
              <w:bottom w:type="dxa" w:w="140"/>
              <w:right w:type="dxa" w:w="240"/>
            </w:tcMar>
          </w:tcPr>
          <w:p>
            <w:pPr>
              <w:spacing w:after="100" w:before="0"/>
            </w:pPr>
            <w:r>
              <w:rPr>
                <w:rFonts w:ascii="Arial" w:cs="Arial" w:eastAsia="Arial" w:hAnsi="Arial"/>
                <w:color w:val="363C4A"/>
                <w:sz w:val="22"/>
                <w:szCs w:val="22"/>
              </w:rPr>
              <w:t xml:space="preserve">Renting your home on Airbnb, VRBO, or another platform can generate meaningful income — but it also creates insurance risks that your standard homeowners policy was never designed to cover. The moment you accept a paying guest, the nature of your property changes from a personal residence to a business operation, and your insurance must change with it.</w:t>
            </w:r>
          </w:p>
          <w:p>
            <w:pPr>
              <w:spacing w:after="0" w:before="0"/>
            </w:pPr>
            <w:r>
              <w:rPr>
                <w:rFonts w:ascii="Arial" w:cs="Arial" w:eastAsia="Arial" w:hAnsi="Arial"/>
                <w:color w:val="363C4A"/>
                <w:sz w:val="22"/>
                <w:szCs w:val="22"/>
              </w:rPr>
              <w:t xml:space="preserve">This guide explains what vacation rental insurance is, why you need it, what platform protections really cover (and don’t), and how to build a complete coverage program for your short-term rental property.</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8B2E00" w:val="clear"/>
            <w:tcMar>
              <w:top w:type="dxa" w:w="160"/>
              <w:left w:type="dxa" w:w="240"/>
              <w:bottom w:type="dxa" w:w="160"/>
              <w:right w:type="dxa" w:w="240"/>
            </w:tcMar>
          </w:tcPr>
          <w:p>
            <w:pPr>
              <w:spacing w:after="0" w:before="0"/>
            </w:pPr>
            <w:r>
              <w:rPr>
                <w:rFonts w:ascii="Arial" w:cs="Arial" w:eastAsia="Arial" w:hAnsi="Arial"/>
                <w:b/>
                <w:bCs/>
                <w:color w:val="ECC0A8"/>
                <w:sz w:val="28"/>
                <w:szCs w:val="28"/>
              </w:rPr>
              <w:t xml:space="preserve">1.  </w:t>
            </w:r>
            <w:r>
              <w:rPr>
                <w:rFonts w:ascii="Arial" w:cs="Arial" w:eastAsia="Arial" w:hAnsi="Arial"/>
                <w:b/>
                <w:bCs/>
                <w:color w:val="FFFFFF"/>
                <w:sz w:val="28"/>
                <w:szCs w:val="28"/>
              </w:rPr>
              <w:t xml:space="preserve">What Vacation Rental Insurance Is</w:t>
            </w:r>
          </w:p>
        </w:tc>
      </w:tr>
    </w:tbl>
    <w:p>
      <w:pPr>
        <w:spacing w:after="0" w:before="100"/>
      </w:pPr>
      <w:r>
        <w:rPr>
          <w:rFonts w:ascii="Arial" w:cs="Arial" w:eastAsia="Arial" w:hAnsi="Arial"/>
        </w:rPr>
        <w:t xml:space="preserve"/>
      </w:r>
    </w:p>
    <w:p>
      <w:pPr>
        <w:spacing w:after="110" w:before="80"/>
      </w:pPr>
      <w:r>
        <w:rPr>
          <w:rFonts w:ascii="Arial" w:cs="Arial" w:eastAsia="Arial" w:hAnsi="Arial"/>
          <w:color w:val="1A1E28"/>
          <w:sz w:val="22"/>
          <w:szCs w:val="22"/>
        </w:rPr>
        <w:t xml:space="preserve">Vacation rental insurance is a specialized form of property and liability insurance designed to protect owners of short-term rental properties — homes, condos, cabins, and other dwellings rented to guests for periods ranging from one night to several months. It bridges the gap between personal homeowners insurance (which excludes commercial rental activity) and commercial landlord insurance (which is designed for long-term tenants, not transient guests).</w:t>
      </w:r>
    </w:p>
    <w:p>
      <w:pPr>
        <w:spacing w:after="0" w:before="80"/>
      </w:pPr>
      <w:r>
        <w:rPr>
          <w:rFonts w:ascii="Arial" w:cs="Arial" w:eastAsia="Arial" w:hAnsi="Arial"/>
        </w:rPr>
        <w:t xml:space="preserve"/>
      </w:r>
    </w:p>
    <w:p>
      <w:pPr>
        <w:spacing w:after="110" w:before="80"/>
      </w:pPr>
      <w:r>
        <w:rPr>
          <w:rFonts w:ascii="Arial" w:cs="Arial" w:eastAsia="Arial" w:hAnsi="Arial"/>
          <w:color w:val="1A1E28"/>
          <w:sz w:val="22"/>
          <w:szCs w:val="22"/>
        </w:rPr>
        <w:t xml:space="preserve">Vacation rental insurance recognizes that a short-term rental property occupies a unique middle ground in the insurance world: it is the owner’s personal asset, but it is also operated as a hospitality business. The coverage is engineered to address both the personal property risks of homeownership and the business liability risks of hosting paying guests.</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C0CCCC" w:sz="1"/>
              <w:left w:val="single" w:color="C0CCCC" w:sz="1"/>
              <w:bottom w:val="single" w:color="C0CCCC" w:sz="1"/>
              <w:right w:val="single" w:color="C0CCCC" w:sz="1"/>
            </w:tcBorders>
            <w:shd w:fill="FDF2EE" w:val="clear"/>
            <w:tcMar>
              <w:top w:type="dxa" w:w="110"/>
              <w:left w:type="dxa" w:w="160"/>
              <w:bottom w:type="dxa" w:w="110"/>
              <w:right w:type="dxa" w:w="160"/>
            </w:tcMar>
          </w:tcPr>
          <w:p>
            <w:pPr>
              <w:spacing w:after="60" w:before="0"/>
            </w:pPr>
            <w:r>
              <w:rPr>
                <w:rFonts w:ascii="Arial" w:cs="Arial" w:eastAsia="Arial" w:hAnsi="Arial"/>
                <w:b/>
                <w:bCs/>
                <w:color w:val="B84020"/>
                <w:sz w:val="19"/>
                <w:szCs w:val="19"/>
              </w:rPr>
              <w:t xml:space="preserve">Core Purpose</w:t>
            </w:r>
          </w:p>
          <w:p>
            <w:pPr>
              <w:spacing w:after="0" w:before="0"/>
            </w:pPr>
            <w:r>
              <w:rPr>
                <w:rFonts w:ascii="Arial" w:cs="Arial" w:eastAsia="Arial" w:hAnsi="Arial"/>
                <w:color w:val="363C4A"/>
                <w:sz w:val="20"/>
                <w:szCs w:val="20"/>
              </w:rPr>
              <w:t xml:space="preserve">To protect short-term rental property owners from financial losses arising from property damage caused by guests, liability for guest injuries, loss of rental income, and the many gaps left by homeowners and landlord policies.</w:t>
            </w:r>
          </w:p>
        </w:tc>
        <w:tc>
          <w:tcPr>
            <w:tcW w:type="dxa" w:w="4620"/>
            <w:tcBorders>
              <w:top w:val="single" w:color="C0CCCC" w:sz="1"/>
              <w:left w:val="single" w:color="C0CCCC" w:sz="1"/>
              <w:bottom w:val="single" w:color="C0CCCC" w:sz="1"/>
              <w:right w:val="single" w:color="C0CCCC" w:sz="1"/>
            </w:tcBorders>
            <w:shd w:fill="FDF2EE" w:val="clear"/>
            <w:tcMar>
              <w:top w:type="dxa" w:w="110"/>
              <w:left w:type="dxa" w:w="160"/>
              <w:bottom w:type="dxa" w:w="110"/>
              <w:right w:type="dxa" w:w="160"/>
            </w:tcMar>
          </w:tcPr>
          <w:p>
            <w:pPr>
              <w:spacing w:after="60" w:before="0"/>
            </w:pPr>
            <w:r>
              <w:rPr>
                <w:rFonts w:ascii="Arial" w:cs="Arial" w:eastAsia="Arial" w:hAnsi="Arial"/>
                <w:b/>
                <w:bCs/>
                <w:color w:val="B84020"/>
                <w:sz w:val="19"/>
                <w:szCs w:val="19"/>
              </w:rPr>
              <w:t xml:space="preserve">What It Covers</w:t>
            </w:r>
          </w:p>
          <w:p>
            <w:pPr>
              <w:spacing w:after="0" w:before="0"/>
            </w:pPr>
            <w:r>
              <w:rPr>
                <w:rFonts w:ascii="Arial" w:cs="Arial" w:eastAsia="Arial" w:hAnsi="Arial"/>
                <w:color w:val="363C4A"/>
                <w:sz w:val="20"/>
                <w:szCs w:val="20"/>
              </w:rPr>
              <w:t xml:space="preserve">Building and structure, contents and furnishings, commercial liability for guest injuries and property damage, loss of rental income during repairs, guest damage caused intentionally or accidentally, and coverage for the many scenarios unique to short-term rentals.</w:t>
            </w:r>
          </w:p>
        </w:tc>
      </w:tr>
      <w:tr>
        <w:tc>
          <w:tcPr>
            <w:tcW w:type="dxa" w:w="4620"/>
            <w:tcBorders>
              <w:top w:val="single" w:color="C0CCCC" w:sz="1"/>
              <w:left w:val="single" w:color="C0CCCC" w:sz="1"/>
              <w:bottom w:val="single" w:color="C0CCCC" w:sz="1"/>
              <w:right w:val="single" w:color="C0CCCC" w:sz="1"/>
            </w:tcBorders>
            <w:shd w:fill="FDF2EE" w:val="clear"/>
            <w:tcMar>
              <w:top w:type="dxa" w:w="110"/>
              <w:left w:type="dxa" w:w="160"/>
              <w:bottom w:type="dxa" w:w="110"/>
              <w:right w:type="dxa" w:w="160"/>
            </w:tcMar>
          </w:tcPr>
          <w:p>
            <w:pPr>
              <w:spacing w:after="60" w:before="0"/>
            </w:pPr>
            <w:r>
              <w:rPr>
                <w:rFonts w:ascii="Arial" w:cs="Arial" w:eastAsia="Arial" w:hAnsi="Arial"/>
                <w:b/>
                <w:bCs/>
                <w:color w:val="B84020"/>
                <w:sz w:val="19"/>
                <w:szCs w:val="19"/>
              </w:rPr>
              <w:t xml:space="preserve">Who Needs It</w:t>
            </w:r>
          </w:p>
          <w:p>
            <w:pPr>
              <w:spacing w:after="0" w:before="0"/>
            </w:pPr>
            <w:r>
              <w:rPr>
                <w:rFonts w:ascii="Arial" w:cs="Arial" w:eastAsia="Arial" w:hAnsi="Arial"/>
                <w:color w:val="363C4A"/>
                <w:sz w:val="20"/>
                <w:szCs w:val="20"/>
              </w:rPr>
              <w:t xml:space="preserve">Any property owner who accepts paying guests for short-term stays — whether through Airbnb, VRBO, Booking.com, a personal website, or direct booking. The commercial activity of accepting payment for occupancy triggers the need for specialized coverage.</w:t>
            </w:r>
          </w:p>
        </w:tc>
        <w:tc>
          <w:tcPr>
            <w:tcW w:type="dxa" w:w="4620"/>
            <w:tcBorders>
              <w:top w:val="single" w:color="C0CCCC" w:sz="1"/>
              <w:left w:val="single" w:color="C0CCCC" w:sz="1"/>
              <w:bottom w:val="single" w:color="C0CCCC" w:sz="1"/>
              <w:right w:val="single" w:color="C0CCCC" w:sz="1"/>
            </w:tcBorders>
            <w:shd w:fill="FDF2EE" w:val="clear"/>
            <w:tcMar>
              <w:top w:type="dxa" w:w="110"/>
              <w:left w:type="dxa" w:w="160"/>
              <w:bottom w:type="dxa" w:w="110"/>
              <w:right w:type="dxa" w:w="160"/>
            </w:tcMar>
          </w:tcPr>
          <w:p>
            <w:pPr>
              <w:spacing w:after="60" w:before="0"/>
            </w:pPr>
            <w:r>
              <w:rPr>
                <w:rFonts w:ascii="Arial" w:cs="Arial" w:eastAsia="Arial" w:hAnsi="Arial"/>
                <w:b/>
                <w:bCs/>
                <w:color w:val="B84020"/>
                <w:sz w:val="19"/>
                <w:szCs w:val="19"/>
              </w:rPr>
              <w:t xml:space="preserve">Who Offers It</w:t>
            </w:r>
          </w:p>
          <w:p>
            <w:pPr>
              <w:spacing w:after="0" w:before="0"/>
            </w:pPr>
            <w:r>
              <w:rPr>
                <w:rFonts w:ascii="Arial" w:cs="Arial" w:eastAsia="Arial" w:hAnsi="Arial"/>
                <w:color w:val="363C4A"/>
                <w:sz w:val="20"/>
                <w:szCs w:val="20"/>
              </w:rPr>
              <w:t xml:space="preserve">Vacation rental insurance is available from specialty carriers (Proper Insurance, CBIZ, Slice, Foremost), standard homeowners carriers with short-term rental endorsements (some carriers), and certain commercial property insurers. Coverage terms vary significantly across providers.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1A7070" w:sz="18"/>
              <w:bottom w:val="none" w:color="FFFFFF" w:sz="0"/>
              <w:right w:val="none" w:color="FFFFFF" w:sz="0"/>
            </w:tcBorders>
            <w:shd w:fill="EAF5F5" w:val="clear"/>
            <w:tcMar>
              <w:top w:type="dxa" w:w="110"/>
              <w:left w:type="dxa" w:w="200"/>
              <w:bottom w:type="dxa" w:w="110"/>
              <w:right w:type="dxa" w:w="160"/>
            </w:tcMar>
          </w:tcPr>
          <w:p>
            <w:pPr>
              <w:spacing w:after="0" w:before="0"/>
            </w:pPr>
            <w:r>
              <w:rPr>
                <w:rFonts w:ascii="Arial" w:cs="Arial" w:eastAsia="Arial" w:hAnsi="Arial"/>
                <w:b/>
                <w:bCs/>
                <w:color w:val="0F5858"/>
                <w:sz w:val="20"/>
                <w:szCs w:val="20"/>
              </w:rPr>
              <w:t xml:space="preserve">Key Takeaway: </w:t>
            </w:r>
            <w:r>
              <w:rPr>
                <w:rFonts w:ascii="Arial" w:cs="Arial" w:eastAsia="Arial" w:hAnsi="Arial"/>
                <w:color w:val="363C4A"/>
                <w:sz w:val="20"/>
                <w:szCs w:val="20"/>
              </w:rPr>
              <w:t xml:space="preserve">The key trigger for vacation rental insurance need is simple: if you accept payment from guests in exchange for occupancy of your property, you are operating a commercial hospitality business and your personal homeowners policy does not provide adequate protection.</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8B2E00" w:val="clear"/>
            <w:tcMar>
              <w:top w:type="dxa" w:w="160"/>
              <w:left w:type="dxa" w:w="240"/>
              <w:bottom w:type="dxa" w:w="160"/>
              <w:right w:type="dxa" w:w="240"/>
            </w:tcMar>
          </w:tcPr>
          <w:p>
            <w:pPr>
              <w:spacing w:after="0" w:before="0"/>
            </w:pPr>
            <w:r>
              <w:rPr>
                <w:rFonts w:ascii="Arial" w:cs="Arial" w:eastAsia="Arial" w:hAnsi="Arial"/>
                <w:b/>
                <w:bCs/>
                <w:color w:val="ECC0A8"/>
                <w:sz w:val="28"/>
                <w:szCs w:val="28"/>
              </w:rPr>
              <w:t xml:space="preserve">2.  </w:t>
            </w:r>
            <w:r>
              <w:rPr>
                <w:rFonts w:ascii="Arial" w:cs="Arial" w:eastAsia="Arial" w:hAnsi="Arial"/>
                <w:b/>
                <w:bCs/>
                <w:color w:val="FFFFFF"/>
                <w:sz w:val="28"/>
                <w:szCs w:val="28"/>
              </w:rPr>
              <w:t xml:space="preserve">How Vacation Rental Insurance Differs from Homeowners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A1E28"/>
          <w:sz w:val="22"/>
          <w:szCs w:val="22"/>
        </w:rPr>
        <w:t xml:space="preserve">Standard homeowners insurance and vacation rental insurance may cover the same physical property, but they are fundamentally different products designed for different risk profiles. A homeowners policy is built around personal, non-commercial residential use. A vacation rental policy is built around the commercial activity of hosting paying guests, which creates a completely different and more complex set of risks.</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900"/>
        <w:gridCol w:w="3130"/>
        <w:gridCol w:w="3330"/>
      </w:tblGrid>
      <w:tr>
        <w:tc>
          <w:tcPr>
            <w:tcW w:type="dxa" w:w="2900"/>
            <w:tcBorders>
              <w:top w:val="none" w:color="FFFFFF" w:sz="0"/>
              <w:left w:val="none" w:color="FFFFFF" w:sz="0"/>
              <w:bottom w:val="none" w:color="FFFFFF" w:sz="0"/>
              <w:right w:val="none" w:color="FFFFFF" w:sz="0"/>
            </w:tcBorders>
            <w:shd w:fill="2A384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Feature</w:t>
            </w:r>
          </w:p>
        </w:tc>
        <w:tc>
          <w:tcPr>
            <w:tcW w:type="dxa" w:w="3130"/>
            <w:tcBorders>
              <w:top w:val="none" w:color="FFFFFF" w:sz="0"/>
              <w:left w:val="none" w:color="FFFFFF" w:sz="0"/>
              <w:bottom w:val="none" w:color="FFFFFF" w:sz="0"/>
              <w:right w:val="none" w:color="FFFFFF" w:sz="0"/>
            </w:tcBorders>
            <w:shd w:fill="B8402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Standard Homeowners Insurance</w:t>
            </w:r>
          </w:p>
        </w:tc>
        <w:tc>
          <w:tcPr>
            <w:tcW w:type="dxa" w:w="3330"/>
            <w:tcBorders>
              <w:top w:val="none" w:color="FFFFFF" w:sz="0"/>
              <w:left w:val="none" w:color="FFFFFF" w:sz="0"/>
              <w:bottom w:val="none" w:color="FFFFFF" w:sz="0"/>
              <w:right w:val="none" w:color="FFFFFF" w:sz="0"/>
            </w:tcBorders>
            <w:shd w:fill="B8402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Vacation Rental Insurance</w:t>
            </w:r>
          </w:p>
        </w:tc>
      </w:tr>
      <w:tr>
        <w:tc>
          <w:tcPr>
            <w:tcW w:type="dxa" w:w="290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Primary purpose</w:t>
            </w:r>
          </w:p>
        </w:tc>
        <w:tc>
          <w:tcPr>
            <w:tcW w:type="dxa" w:w="31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Personal residential use</w:t>
            </w:r>
          </w:p>
        </w:tc>
        <w:tc>
          <w:tcPr>
            <w:tcW w:type="dxa" w:w="33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Commercial short-term rental operation</w:t>
            </w:r>
          </w:p>
        </w:tc>
      </w:tr>
      <w:tr>
        <w:tc>
          <w:tcPr>
            <w:tcW w:type="dxa" w:w="290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Commercial activity</w:t>
            </w:r>
          </w:p>
        </w:tc>
        <w:tc>
          <w:tcPr>
            <w:tcW w:type="dxa" w:w="31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Excluded — voids coverage</w:t>
            </w:r>
          </w:p>
        </w:tc>
        <w:tc>
          <w:tcPr>
            <w:tcW w:type="dxa" w:w="33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Core purpose — specifically designed for it</w:t>
            </w:r>
          </w:p>
        </w:tc>
      </w:tr>
      <w:tr>
        <w:tc>
          <w:tcPr>
            <w:tcW w:type="dxa" w:w="290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Liability for guests</w:t>
            </w:r>
          </w:p>
        </w:tc>
        <w:tc>
          <w:tcPr>
            <w:tcW w:type="dxa" w:w="31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Limited to social guests; excludes paying</w:t>
            </w:r>
          </w:p>
        </w:tc>
        <w:tc>
          <w:tcPr>
            <w:tcW w:type="dxa" w:w="33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Full commercial premises liability for guests</w:t>
            </w:r>
          </w:p>
        </w:tc>
      </w:tr>
      <w:tr>
        <w:tc>
          <w:tcPr>
            <w:tcW w:type="dxa" w:w="290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Guest damage coverage</w:t>
            </w:r>
          </w:p>
        </w:tc>
        <w:tc>
          <w:tcPr>
            <w:tcW w:type="dxa" w:w="31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Not covered</w:t>
            </w:r>
          </w:p>
        </w:tc>
        <w:tc>
          <w:tcPr>
            <w:tcW w:type="dxa" w:w="33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Covered (accidental and often intentional)</w:t>
            </w:r>
          </w:p>
        </w:tc>
      </w:tr>
      <w:tr>
        <w:tc>
          <w:tcPr>
            <w:tcW w:type="dxa" w:w="290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Loss of rental income</w:t>
            </w:r>
          </w:p>
        </w:tc>
        <w:tc>
          <w:tcPr>
            <w:tcW w:type="dxa" w:w="31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Not covered</w:t>
            </w:r>
          </w:p>
        </w:tc>
        <w:tc>
          <w:tcPr>
            <w:tcW w:type="dxa" w:w="33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Business income / lost rental income covered</w:t>
            </w:r>
          </w:p>
        </w:tc>
      </w:tr>
      <w:tr>
        <w:tc>
          <w:tcPr>
            <w:tcW w:type="dxa" w:w="290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Theft by guests</w:t>
            </w:r>
          </w:p>
        </w:tc>
        <w:tc>
          <w:tcPr>
            <w:tcW w:type="dxa" w:w="31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Not covered</w:t>
            </w:r>
          </w:p>
        </w:tc>
        <w:tc>
          <w:tcPr>
            <w:tcW w:type="dxa" w:w="33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Covered under many VR policies</w:t>
            </w:r>
          </w:p>
        </w:tc>
      </w:tr>
      <w:tr>
        <w:tc>
          <w:tcPr>
            <w:tcW w:type="dxa" w:w="290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Liability limits</w:t>
            </w:r>
          </w:p>
        </w:tc>
        <w:tc>
          <w:tcPr>
            <w:tcW w:type="dxa" w:w="31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Personal limits ($100K–$300K typical)</w:t>
            </w:r>
          </w:p>
        </w:tc>
        <w:tc>
          <w:tcPr>
            <w:tcW w:type="dxa" w:w="33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Commercial limits ($500K–$2M+ available</w:t>
            </w:r>
          </w:p>
        </w:tc>
      </w:tr>
      <w:tr>
        <w:tc>
          <w:tcPr>
            <w:tcW w:type="dxa" w:w="290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Medical payments</w:t>
            </w:r>
          </w:p>
        </w:tc>
        <w:tc>
          <w:tcPr>
            <w:tcW w:type="dxa" w:w="31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Social guests only</w:t>
            </w:r>
          </w:p>
        </w:tc>
        <w:tc>
          <w:tcPr>
            <w:tcW w:type="dxa" w:w="33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Paying guests fully covered</w:t>
            </w:r>
          </w:p>
        </w:tc>
      </w:tr>
      <w:tr>
        <w:tc>
          <w:tcPr>
            <w:tcW w:type="dxa" w:w="290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Property coverage basis</w:t>
            </w:r>
          </w:p>
        </w:tc>
        <w:tc>
          <w:tcPr>
            <w:tcW w:type="dxa" w:w="31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ACV or replacement cost for personal use</w:t>
            </w:r>
          </w:p>
        </w:tc>
        <w:tc>
          <w:tcPr>
            <w:tcW w:type="dxa" w:w="33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Business property replacement cost</w:t>
            </w:r>
          </w:p>
        </w:tc>
      </w:tr>
      <w:tr>
        <w:tc>
          <w:tcPr>
            <w:tcW w:type="dxa" w:w="290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Business equipment</w:t>
            </w:r>
          </w:p>
        </w:tc>
        <w:tc>
          <w:tcPr>
            <w:tcW w:type="dxa" w:w="31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Not covered (business exclusion)</w:t>
            </w:r>
          </w:p>
        </w:tc>
        <w:tc>
          <w:tcPr>
            <w:tcW w:type="dxa" w:w="33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Rental furnishings and supplies covered</w:t>
            </w:r>
          </w:p>
        </w:tc>
      </w:tr>
    </w:tbl>
    <w:p>
      <w:pPr>
        <w:spacing w:after="0" w:before="120"/>
      </w:pPr>
      <w:r>
        <w:rPr>
          <w:rFonts w:ascii="Arial" w:cs="Arial" w:eastAsia="Arial" w:hAnsi="Arial"/>
        </w:rPr>
        <w:t xml:space="preserve"/>
      </w:r>
    </w:p>
    <w:p>
      <w:pPr>
        <w:pBdr>
          <w:bottom w:val="single" w:color="ECC0A8" w:sz="4" w:space="4"/>
        </w:pBdr>
        <w:spacing w:after="80" w:before="220"/>
      </w:pPr>
      <w:r>
        <w:rPr>
          <w:rFonts w:ascii="Arial" w:cs="Arial" w:eastAsia="Arial" w:hAnsi="Arial"/>
          <w:b/>
          <w:bCs/>
          <w:color w:val="8B2E00"/>
          <w:sz w:val="24"/>
          <w:szCs w:val="24"/>
        </w:rPr>
        <w:t xml:space="preserve">The Commercial Activity Exclusion</w:t>
      </w:r>
    </w:p>
    <w:p>
      <w:pPr>
        <w:spacing w:after="110" w:before="80"/>
      </w:pPr>
      <w:r>
        <w:rPr>
          <w:rFonts w:ascii="Arial" w:cs="Arial" w:eastAsia="Arial" w:hAnsi="Arial"/>
          <w:color w:val="1A1E28"/>
          <w:sz w:val="22"/>
          <w:szCs w:val="22"/>
        </w:rPr>
        <w:t xml:space="preserve">The most critical difference between homeowners insurance and vacation rental insurance is the commercial activity exclusion. Standard homeowners policies explicitly exclude losses that arise from or are connected to commercial activity at the property. When you rent your home to paying guests, you are conducting a commercial activity — and your homeowners policy’s exclusion applies.</w:t>
      </w:r>
    </w:p>
    <w:p>
      <w:pPr>
        <w:spacing w:after="0" w:before="80"/>
      </w:pPr>
      <w:r>
        <w:rPr>
          <w:rFonts w:ascii="Arial" w:cs="Arial" w:eastAsia="Arial" w:hAnsi="Arial"/>
        </w:rPr>
        <w:t xml:space="preserve"/>
      </w:r>
    </w:p>
    <w:p>
      <w:pPr>
        <w:spacing w:after="110" w:before="80"/>
      </w:pPr>
      <w:r>
        <w:rPr>
          <w:rFonts w:ascii="Arial" w:cs="Arial" w:eastAsia="Arial" w:hAnsi="Arial"/>
          <w:color w:val="1A1E28"/>
          <w:sz w:val="22"/>
          <w:szCs w:val="22"/>
        </w:rPr>
        <w:t xml:space="preserve">This means that when a paying guest slips on your stairs and suffers a serious injury, your homeowners liability coverage will likely deny the claim because the injury occurred in connection with commercial rental activity. The insurer will argue that the property was being used for business purposes at the time of the loss, triggering the commercial activity exclusion.</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10"/>
              <w:left w:type="dxa" w:w="200"/>
              <w:bottom w:type="dxa" w:w="110"/>
              <w:right w:type="dxa" w:w="160"/>
            </w:tcMar>
          </w:tcPr>
          <w:p>
            <w:pPr>
              <w:spacing w:after="60" w:before="0"/>
            </w:pPr>
            <w:r>
              <w:rPr>
                <w:rFonts w:ascii="Arial" w:cs="Arial" w:eastAsia="Arial" w:hAnsi="Arial"/>
                <w:b/>
                <w:bCs/>
                <w:caps/>
                <w:color w:val="8B1A1A"/>
                <w:sz w:val="19"/>
                <w:szCs w:val="19"/>
              </w:rPr>
              <w:t xml:space="preserve">The Homeowners Cancellation Risk</w:t>
            </w:r>
          </w:p>
          <w:p>
            <w:pPr>
              <w:spacing w:after="0" w:before="0"/>
            </w:pPr>
            <w:r>
              <w:rPr>
                <w:rFonts w:ascii="Arial" w:cs="Arial" w:eastAsia="Arial" w:hAnsi="Arial"/>
                <w:color w:val="5A1010"/>
                <w:sz w:val="20"/>
                <w:szCs w:val="20"/>
              </w:rPr>
              <w:t xml:space="preserve">Some homeowners insurers will cancel or non-renew a policy if they discover the property is being rented short-term without disclosure. Operating a vacation rental on a homeowners policy without notifying your insurer is not only a coverage gap — it can be considered a material misrepresentation that voids the policy entirely.</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8B2E00" w:val="clear"/>
            <w:tcMar>
              <w:top w:type="dxa" w:w="160"/>
              <w:left w:type="dxa" w:w="240"/>
              <w:bottom w:type="dxa" w:w="160"/>
              <w:right w:type="dxa" w:w="240"/>
            </w:tcMar>
          </w:tcPr>
          <w:p>
            <w:pPr>
              <w:spacing w:after="0" w:before="0"/>
            </w:pPr>
            <w:r>
              <w:rPr>
                <w:rFonts w:ascii="Arial" w:cs="Arial" w:eastAsia="Arial" w:hAnsi="Arial"/>
                <w:b/>
                <w:bCs/>
                <w:color w:val="ECC0A8"/>
                <w:sz w:val="28"/>
                <w:szCs w:val="28"/>
              </w:rPr>
              <w:t xml:space="preserve">3.  </w:t>
            </w:r>
            <w:r>
              <w:rPr>
                <w:rFonts w:ascii="Arial" w:cs="Arial" w:eastAsia="Arial" w:hAnsi="Arial"/>
                <w:b/>
                <w:bCs/>
                <w:color w:val="FFFFFF"/>
                <w:sz w:val="28"/>
                <w:szCs w:val="28"/>
              </w:rPr>
              <w:t xml:space="preserve">How Vacation Rental Insurance Differs from Landlord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A1E28"/>
          <w:sz w:val="22"/>
          <w:szCs w:val="22"/>
        </w:rPr>
        <w:t xml:space="preserve">Landlord insurance — also called dwelling fire insurance or rental property insurance — is designed for long-term residential rentals where tenants occupy the property under a lease agreement, typically for 6 to 12 months or more. While both vacation rental insurance and landlord insurance address rental properties, the risk profiles are dramatically different, and the two products should not be substituted for each other.</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900"/>
        <w:gridCol w:w="3130"/>
        <w:gridCol w:w="3330"/>
      </w:tblGrid>
      <w:tr>
        <w:tc>
          <w:tcPr>
            <w:tcW w:type="dxa" w:w="2900"/>
            <w:tcBorders>
              <w:top w:val="none" w:color="FFFFFF" w:sz="0"/>
              <w:left w:val="none" w:color="FFFFFF" w:sz="0"/>
              <w:bottom w:val="none" w:color="FFFFFF" w:sz="0"/>
              <w:right w:val="none" w:color="FFFFFF" w:sz="0"/>
            </w:tcBorders>
            <w:shd w:fill="2A384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Feature</w:t>
            </w:r>
          </w:p>
        </w:tc>
        <w:tc>
          <w:tcPr>
            <w:tcW w:type="dxa" w:w="3130"/>
            <w:tcBorders>
              <w:top w:val="none" w:color="FFFFFF" w:sz="0"/>
              <w:left w:val="none" w:color="FFFFFF" w:sz="0"/>
              <w:bottom w:val="none" w:color="FFFFFF" w:sz="0"/>
              <w:right w:val="none" w:color="FFFFFF" w:sz="0"/>
            </w:tcBorders>
            <w:shd w:fill="B8402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Landlord Insurance</w:t>
            </w:r>
          </w:p>
        </w:tc>
        <w:tc>
          <w:tcPr>
            <w:tcW w:type="dxa" w:w="3330"/>
            <w:tcBorders>
              <w:top w:val="none" w:color="FFFFFF" w:sz="0"/>
              <w:left w:val="none" w:color="FFFFFF" w:sz="0"/>
              <w:bottom w:val="none" w:color="FFFFFF" w:sz="0"/>
              <w:right w:val="none" w:color="FFFFFF" w:sz="0"/>
            </w:tcBorders>
            <w:shd w:fill="B8402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Vacation Rental Insurance</w:t>
            </w:r>
          </w:p>
        </w:tc>
      </w:tr>
      <w:tr>
        <w:tc>
          <w:tcPr>
            <w:tcW w:type="dxa" w:w="290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Rental duration</w:t>
            </w:r>
          </w:p>
        </w:tc>
        <w:tc>
          <w:tcPr>
            <w:tcW w:type="dxa" w:w="31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Long-term (months to years)</w:t>
            </w:r>
          </w:p>
        </w:tc>
        <w:tc>
          <w:tcPr>
            <w:tcW w:type="dxa" w:w="33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Short-term (nights to weeks)</w:t>
            </w:r>
          </w:p>
        </w:tc>
      </w:tr>
      <w:tr>
        <w:tc>
          <w:tcPr>
            <w:tcW w:type="dxa" w:w="290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Guest relationship</w:t>
            </w:r>
          </w:p>
        </w:tc>
        <w:tc>
          <w:tcPr>
            <w:tcW w:type="dxa" w:w="31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Tenant under lease agreement</w:t>
            </w:r>
          </w:p>
        </w:tc>
        <w:tc>
          <w:tcPr>
            <w:tcW w:type="dxa" w:w="33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Transient guest — no tenancy rights</w:t>
            </w:r>
          </w:p>
        </w:tc>
      </w:tr>
      <w:tr>
        <w:tc>
          <w:tcPr>
            <w:tcW w:type="dxa" w:w="290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Guest screening</w:t>
            </w:r>
          </w:p>
        </w:tc>
        <w:tc>
          <w:tcPr>
            <w:tcW w:type="dxa" w:w="31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Tenant screened before occupancy</w:t>
            </w:r>
          </w:p>
        </w:tc>
        <w:tc>
          <w:tcPr>
            <w:tcW w:type="dxa" w:w="33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Guest identity verification varies</w:t>
            </w:r>
          </w:p>
        </w:tc>
      </w:tr>
      <w:tr>
        <w:tc>
          <w:tcPr>
            <w:tcW w:type="dxa" w:w="290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Liability profile</w:t>
            </w:r>
          </w:p>
        </w:tc>
        <w:tc>
          <w:tcPr>
            <w:tcW w:type="dxa" w:w="31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Tenant premises liability</w:t>
            </w:r>
          </w:p>
        </w:tc>
        <w:tc>
          <w:tcPr>
            <w:tcW w:type="dxa" w:w="33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Commercial hospitality liability</w:t>
            </w:r>
          </w:p>
        </w:tc>
      </w:tr>
      <w:tr>
        <w:tc>
          <w:tcPr>
            <w:tcW w:type="dxa" w:w="290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Guest damage risk</w:t>
            </w:r>
          </w:p>
        </w:tc>
        <w:tc>
          <w:tcPr>
            <w:tcW w:type="dxa" w:w="31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Tenant damage covered</w:t>
            </w:r>
          </w:p>
        </w:tc>
        <w:tc>
          <w:tcPr>
            <w:tcW w:type="dxa" w:w="33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Higher-frequency guest damage risk</w:t>
            </w:r>
          </w:p>
        </w:tc>
      </w:tr>
      <w:tr>
        <w:tc>
          <w:tcPr>
            <w:tcW w:type="dxa" w:w="290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Theft by guest</w:t>
            </w:r>
          </w:p>
        </w:tc>
        <w:tc>
          <w:tcPr>
            <w:tcW w:type="dxa" w:w="31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Generally covered</w:t>
            </w:r>
          </w:p>
        </w:tc>
        <w:tc>
          <w:tcPr>
            <w:tcW w:type="dxa" w:w="33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Higher frequency; covered in VR policies</w:t>
            </w:r>
          </w:p>
        </w:tc>
      </w:tr>
      <w:tr>
        <w:tc>
          <w:tcPr>
            <w:tcW w:type="dxa" w:w="290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Business income coverage</w:t>
            </w:r>
          </w:p>
        </w:tc>
        <w:tc>
          <w:tcPr>
            <w:tcW w:type="dxa" w:w="31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Fair rental value (long-term basis)</w:t>
            </w:r>
          </w:p>
        </w:tc>
        <w:tc>
          <w:tcPr>
            <w:tcW w:type="dxa" w:w="33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Short-term rental income replacement</w:t>
            </w:r>
          </w:p>
        </w:tc>
      </w:tr>
      <w:tr>
        <w:tc>
          <w:tcPr>
            <w:tcW w:type="dxa" w:w="290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Furnished property</w:t>
            </w:r>
          </w:p>
        </w:tc>
        <w:tc>
          <w:tcPr>
            <w:tcW w:type="dxa" w:w="31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Often unfurnished or minimally furnished</w:t>
            </w:r>
          </w:p>
        </w:tc>
        <w:tc>
          <w:tcPr>
            <w:tcW w:type="dxa" w:w="33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Typically fully furnished; contents are key asset</w:t>
            </w:r>
          </w:p>
        </w:tc>
      </w:tr>
      <w:tr>
        <w:tc>
          <w:tcPr>
            <w:tcW w:type="dxa" w:w="290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Seasonal use</w:t>
            </w:r>
          </w:p>
        </w:tc>
        <w:tc>
          <w:tcPr>
            <w:tcW w:type="dxa" w:w="31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Year-round occupancy assumed</w:t>
            </w:r>
          </w:p>
        </w:tc>
        <w:tc>
          <w:tcPr>
            <w:tcW w:type="dxa" w:w="33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Seasonal peaks; off-season gaps</w:t>
            </w:r>
          </w:p>
        </w:tc>
      </w:tr>
      <w:tr>
        <w:tc>
          <w:tcPr>
            <w:tcW w:type="dxa" w:w="290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Platform coordination</w:t>
            </w:r>
          </w:p>
        </w:tc>
        <w:tc>
          <w:tcPr>
            <w:tcW w:type="dxa" w:w="31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Not applicable</w:t>
            </w:r>
          </w:p>
        </w:tc>
        <w:tc>
          <w:tcPr>
            <w:tcW w:type="dxa" w:w="33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Integration with Airbnb, VRBO policies</w:t>
            </w:r>
          </w:p>
        </w:tc>
      </w:tr>
    </w:tbl>
    <w:p>
      <w:pPr>
        <w:spacing w:after="0" w:before="120"/>
      </w:pPr>
      <w:r>
        <w:rPr>
          <w:rFonts w:ascii="Arial" w:cs="Arial" w:eastAsia="Arial" w:hAnsi="Arial"/>
        </w:rPr>
        <w:t xml:space="preserve"/>
      </w:r>
    </w:p>
    <w:p>
      <w:pPr>
        <w:pBdr>
          <w:bottom w:val="single" w:color="ECC0A8" w:sz="4" w:space="4"/>
        </w:pBdr>
        <w:spacing w:after="80" w:before="220"/>
      </w:pPr>
      <w:r>
        <w:rPr>
          <w:rFonts w:ascii="Arial" w:cs="Arial" w:eastAsia="Arial" w:hAnsi="Arial"/>
          <w:b/>
          <w:bCs/>
          <w:color w:val="8B2E00"/>
          <w:sz w:val="24"/>
          <w:szCs w:val="24"/>
        </w:rPr>
        <w:t xml:space="preserve">Why Landlord Insurance Is Not Sufficient for Vacation Rentals</w:t>
      </w:r>
    </w:p>
    <w:p>
      <w:pPr>
        <w:spacing w:after="110" w:before="80"/>
      </w:pPr>
      <w:r>
        <w:rPr>
          <w:rFonts w:ascii="Arial" w:cs="Arial" w:eastAsia="Arial" w:hAnsi="Arial"/>
          <w:color w:val="1A1E28"/>
          <w:sz w:val="22"/>
          <w:szCs w:val="22"/>
        </w:rPr>
        <w:t xml:space="preserve">Landlord insurance assumes a stable, long-term tenant who has signed a lease and has a legal right of occupancy. The risk calculus — frequency of turnover, variety of guests, fully furnished interiors, amenities like pools and hot tubs, and the hospitality-grade liability exposure — is entirely different for a vacation rental property.</w:t>
      </w:r>
    </w:p>
    <w:p>
      <w:pPr>
        <w:spacing w:after="0" w:before="80"/>
      </w:pPr>
      <w:r>
        <w:rPr>
          <w:rFonts w:ascii="Arial" w:cs="Arial" w:eastAsia="Arial" w:hAnsi="Arial"/>
        </w:rPr>
        <w:t xml:space="preserve"/>
      </w:r>
    </w:p>
    <w:p>
      <w:pPr>
        <w:spacing w:after="110" w:before="80"/>
      </w:pPr>
      <w:r>
        <w:rPr>
          <w:rFonts w:ascii="Arial" w:cs="Arial" w:eastAsia="Arial" w:hAnsi="Arial"/>
          <w:color w:val="1A1E28"/>
          <w:sz w:val="22"/>
          <w:szCs w:val="22"/>
        </w:rPr>
        <w:t xml:space="preserve">A landlord policy may technically provide some coverage for a property that is rented short-term, but the gaps are significant: the commercial liability limits are typically calibrated for long-term tenancy situations, guest damage frequency assumptions are far lower, and the business income calculation does not account for nightly-rate pricing fluctuations. Only a purpose-built vacation rental policy addresses all of these scenarios correctly.</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1A7070" w:sz="18"/>
              <w:bottom w:val="none" w:color="FFFFFF" w:sz="0"/>
              <w:right w:val="none" w:color="FFFFFF" w:sz="0"/>
            </w:tcBorders>
            <w:shd w:fill="EAF5F5" w:val="clear"/>
            <w:tcMar>
              <w:top w:type="dxa" w:w="110"/>
              <w:left w:type="dxa" w:w="200"/>
              <w:bottom w:type="dxa" w:w="110"/>
              <w:right w:type="dxa" w:w="160"/>
            </w:tcMar>
          </w:tcPr>
          <w:p>
            <w:pPr>
              <w:spacing w:after="0" w:before="0"/>
            </w:pPr>
            <w:r>
              <w:rPr>
                <w:rFonts w:ascii="Arial" w:cs="Arial" w:eastAsia="Arial" w:hAnsi="Arial"/>
                <w:b/>
                <w:bCs/>
                <w:color w:val="0F5858"/>
                <w:sz w:val="20"/>
                <w:szCs w:val="20"/>
              </w:rPr>
              <w:t xml:space="preserve">Key Takeaway: </w:t>
            </w:r>
            <w:r>
              <w:rPr>
                <w:rFonts w:ascii="Arial" w:cs="Arial" w:eastAsia="Arial" w:hAnsi="Arial"/>
                <w:color w:val="363C4A"/>
                <w:sz w:val="20"/>
                <w:szCs w:val="20"/>
              </w:rPr>
              <w:t xml:space="preserve">Landlord insurance is for tenants. Vacation rental insurance is for guests. These are different legal relationships, different risk profiles, and different insurance products. Using a landlord policy for a short-term rental property is nearly as inadequate as using a homeowners policy — the coverage gaps are real and potentially enormous.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8B2E00" w:val="clear"/>
            <w:tcMar>
              <w:top w:type="dxa" w:w="160"/>
              <w:left w:type="dxa" w:w="240"/>
              <w:bottom w:type="dxa" w:w="160"/>
              <w:right w:type="dxa" w:w="240"/>
            </w:tcMar>
          </w:tcPr>
          <w:p>
            <w:pPr>
              <w:spacing w:after="0" w:before="0"/>
            </w:pPr>
            <w:r>
              <w:rPr>
                <w:rFonts w:ascii="Arial" w:cs="Arial" w:eastAsia="Arial" w:hAnsi="Arial"/>
                <w:b/>
                <w:bCs/>
                <w:color w:val="ECC0A8"/>
                <w:sz w:val="28"/>
                <w:szCs w:val="28"/>
              </w:rPr>
              <w:t xml:space="preserve">4.  </w:t>
            </w:r>
            <w:r>
              <w:rPr>
                <w:rFonts w:ascii="Arial" w:cs="Arial" w:eastAsia="Arial" w:hAnsi="Arial"/>
                <w:b/>
                <w:bCs/>
                <w:color w:val="FFFFFF"/>
                <w:sz w:val="28"/>
                <w:szCs w:val="28"/>
              </w:rPr>
              <w:t xml:space="preserve">Why Standard Homeowners Insurance Excludes Vacation Rentals</w:t>
            </w:r>
          </w:p>
        </w:tc>
      </w:tr>
    </w:tbl>
    <w:p>
      <w:pPr>
        <w:spacing w:after="0" w:before="100"/>
      </w:pPr>
      <w:r>
        <w:rPr>
          <w:rFonts w:ascii="Arial" w:cs="Arial" w:eastAsia="Arial" w:hAnsi="Arial"/>
        </w:rPr>
        <w:t xml:space="preserve"/>
      </w:r>
    </w:p>
    <w:p>
      <w:pPr>
        <w:spacing w:after="110" w:before="80"/>
      </w:pPr>
      <w:r>
        <w:rPr>
          <w:rFonts w:ascii="Arial" w:cs="Arial" w:eastAsia="Arial" w:hAnsi="Arial"/>
          <w:color w:val="1A1E28"/>
          <w:sz w:val="22"/>
          <w:szCs w:val="22"/>
        </w:rPr>
        <w:t xml:space="preserve">The exclusion of vacation rental activity from standard homeowners insurance policies is not arbitrary — it reflects the fundamentally different risk profile that commercial rental activity creates compared to personal residential use. Insurance companies price homeowners policies based on the assumption that the property is occupied by the owner and their household members, not by a rotating stream of paying strangers.</w:t>
      </w:r>
    </w:p>
    <w:p>
      <w:pPr>
        <w:spacing w:after="0" w:before="100"/>
      </w:pPr>
      <w:r>
        <w:rPr>
          <w:rFonts w:ascii="Arial" w:cs="Arial" w:eastAsia="Arial" w:hAnsi="Arial"/>
        </w:rPr>
        <w:t xml:space="preserve"/>
      </w:r>
    </w:p>
    <w:p>
      <w:pPr>
        <w:pBdr>
          <w:bottom w:val="single" w:color="ECC0A8" w:sz="4" w:space="4"/>
        </w:pBdr>
        <w:spacing w:after="80" w:before="220"/>
      </w:pPr>
      <w:r>
        <w:rPr>
          <w:rFonts w:ascii="Arial" w:cs="Arial" w:eastAsia="Arial" w:hAnsi="Arial"/>
          <w:b/>
          <w:bCs/>
          <w:color w:val="8B2E00"/>
          <w:sz w:val="24"/>
          <w:szCs w:val="24"/>
        </w:rPr>
        <w:t xml:space="preserve">The Business Risk Problem</w:t>
      </w:r>
    </w:p>
    <w:p>
      <w:pPr>
        <w:spacing w:after="110" w:before="80"/>
      </w:pPr>
      <w:r>
        <w:rPr>
          <w:rFonts w:ascii="Arial" w:cs="Arial" w:eastAsia="Arial" w:hAnsi="Arial"/>
          <w:color w:val="1A1E28"/>
          <w:sz w:val="22"/>
          <w:szCs w:val="22"/>
        </w:rPr>
        <w:t xml:space="preserve">When a property is used as a vacation rental, the risk profile changes in ways that standard homeowners underwriting does not anticipate or price for:</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B84020"/>
          <w:sz w:val="22"/>
          <w:szCs w:val="22"/>
        </w:rPr>
        <w:t xml:space="preserve">Increased liability exposure — </w:t>
      </w:r>
      <w:r>
        <w:rPr>
          <w:rFonts w:ascii="Arial" w:cs="Arial" w:eastAsia="Arial" w:hAnsi="Arial"/>
          <w:color w:val="363C4A"/>
          <w:sz w:val="22"/>
          <w:szCs w:val="22"/>
        </w:rPr>
        <w:t xml:space="preserve">paying guests who are injured at the property have both tort law claims and potential consumer protection claims that far exceed the liability risk of social guests; the hospitality relationship creates a duty of care that standard homeowners liability is not designed to cover</w:t>
      </w:r>
    </w:p>
    <w:p>
      <w:pPr>
        <w:pStyle w:val="ListParagraph"/>
        <w:numPr>
          <w:ilvl w:val="0"/>
          <w:numId w:val="2"/>
        </w:numPr>
        <w:spacing w:after="60" w:before="60"/>
      </w:pPr>
      <w:r>
        <w:rPr>
          <w:rFonts w:ascii="Arial" w:cs="Arial" w:eastAsia="Arial" w:hAnsi="Arial"/>
          <w:b/>
          <w:bCs/>
          <w:color w:val="B84020"/>
          <w:sz w:val="22"/>
          <w:szCs w:val="22"/>
        </w:rPr>
        <w:t xml:space="preserve">Higher damage frequency — </w:t>
      </w:r>
      <w:r>
        <w:rPr>
          <w:rFonts w:ascii="Arial" w:cs="Arial" w:eastAsia="Arial" w:hAnsi="Arial"/>
          <w:color w:val="363C4A"/>
          <w:sz w:val="22"/>
          <w:szCs w:val="22"/>
        </w:rPr>
        <w:t xml:space="preserve">vacation rental guests, particularly on platforms like Airbnb and VRBO, cause damage at rates that substantially exceed those of owner-occupied homes; the transient nature of guests, parties, and high-frequency turnover creates elevated property damage risk</w:t>
      </w:r>
    </w:p>
    <w:p>
      <w:pPr>
        <w:pStyle w:val="ListParagraph"/>
        <w:numPr>
          <w:ilvl w:val="0"/>
          <w:numId w:val="2"/>
        </w:numPr>
        <w:spacing w:after="60" w:before="60"/>
      </w:pPr>
      <w:r>
        <w:rPr>
          <w:rFonts w:ascii="Arial" w:cs="Arial" w:eastAsia="Arial" w:hAnsi="Arial"/>
          <w:b/>
          <w:bCs/>
          <w:color w:val="B84020"/>
          <w:sz w:val="22"/>
          <w:szCs w:val="22"/>
        </w:rPr>
        <w:t xml:space="preserve">Theft risk elevation — </w:t>
      </w:r>
      <w:r>
        <w:rPr>
          <w:rFonts w:ascii="Arial" w:cs="Arial" w:eastAsia="Arial" w:hAnsi="Arial"/>
          <w:color w:val="363C4A"/>
          <w:sz w:val="22"/>
          <w:szCs w:val="22"/>
        </w:rPr>
        <w:t xml:space="preserve">short-term rentals experience theft by guests at rates that homeowners policies are not rated for; electronics, appliances, linens, and decorative items are frequently taken by guests</w:t>
      </w:r>
    </w:p>
    <w:p>
      <w:pPr>
        <w:pStyle w:val="ListParagraph"/>
        <w:numPr>
          <w:ilvl w:val="0"/>
          <w:numId w:val="2"/>
        </w:numPr>
        <w:spacing w:after="60" w:before="60"/>
      </w:pPr>
      <w:r>
        <w:rPr>
          <w:rFonts w:ascii="Arial" w:cs="Arial" w:eastAsia="Arial" w:hAnsi="Arial"/>
          <w:b/>
          <w:bCs/>
          <w:color w:val="B84020"/>
          <w:sz w:val="22"/>
          <w:szCs w:val="22"/>
        </w:rPr>
        <w:t xml:space="preserve">Commercial premises liability — </w:t>
      </w:r>
      <w:r>
        <w:rPr>
          <w:rFonts w:ascii="Arial" w:cs="Arial" w:eastAsia="Arial" w:hAnsi="Arial"/>
          <w:color w:val="363C4A"/>
          <w:sz w:val="22"/>
          <w:szCs w:val="22"/>
        </w:rPr>
        <w:t xml:space="preserve">the property becomes a commercial premises when guests pay to occupy it, creating commercial-grade liability exposure that homeowners policies explicitly exclude through their business liability exclusions</w:t>
      </w:r>
    </w:p>
    <w:p>
      <w:pPr>
        <w:pStyle w:val="ListParagraph"/>
        <w:numPr>
          <w:ilvl w:val="0"/>
          <w:numId w:val="2"/>
        </w:numPr>
        <w:spacing w:after="60" w:before="60"/>
      </w:pPr>
      <w:r>
        <w:rPr>
          <w:rFonts w:ascii="Arial" w:cs="Arial" w:eastAsia="Arial" w:hAnsi="Arial"/>
          <w:b/>
          <w:bCs/>
          <w:color w:val="B84020"/>
          <w:sz w:val="22"/>
          <w:szCs w:val="22"/>
        </w:rPr>
        <w:t xml:space="preserve">Loss of rental income — </w:t>
      </w:r>
      <w:r>
        <w:rPr>
          <w:rFonts w:ascii="Arial" w:cs="Arial" w:eastAsia="Arial" w:hAnsi="Arial"/>
          <w:color w:val="363C4A"/>
          <w:sz w:val="22"/>
          <w:szCs w:val="22"/>
        </w:rPr>
        <w:t xml:space="preserve">homeowners policies have no mechanism for addressing business income loss — the revenue stream from vacation rentals — which is a central risk of short-term rental operations</w:t>
      </w:r>
    </w:p>
    <w:p>
      <w:pPr>
        <w:spacing w:after="0" w:before="100"/>
      </w:pPr>
      <w:r>
        <w:rPr>
          <w:rFonts w:ascii="Arial" w:cs="Arial" w:eastAsia="Arial" w:hAnsi="Arial"/>
        </w:rPr>
        <w:t xml:space="preserve"/>
      </w:r>
    </w:p>
    <w:p>
      <w:pPr>
        <w:pBdr>
          <w:bottom w:val="single" w:color="ECC0A8" w:sz="4" w:space="4"/>
        </w:pBdr>
        <w:spacing w:after="80" w:before="220"/>
      </w:pPr>
      <w:r>
        <w:rPr>
          <w:rFonts w:ascii="Arial" w:cs="Arial" w:eastAsia="Arial" w:hAnsi="Arial"/>
          <w:b/>
          <w:bCs/>
          <w:color w:val="8B2E00"/>
          <w:sz w:val="24"/>
          <w:szCs w:val="24"/>
        </w:rPr>
        <w:t xml:space="preserve">How Carriers Handle the Exclusion</w:t>
      </w:r>
    </w:p>
    <w:p>
      <w:pPr>
        <w:spacing w:after="110" w:before="80"/>
      </w:pPr>
      <w:r>
        <w:rPr>
          <w:rFonts w:ascii="Arial" w:cs="Arial" w:eastAsia="Arial" w:hAnsi="Arial"/>
          <w:color w:val="1A1E28"/>
          <w:sz w:val="22"/>
          <w:szCs w:val="22"/>
        </w:rPr>
        <w:t xml:space="preserve">Different homeowners insurers handle the vacation rental exclusion differently. Some carriers have developed short-term rental endorsements that can be added to a standard homeowners policy for occasional rentals (typically fewer than a defined number of days per year — often 30 to 60 days). These endorsements are a partial solution for infrequent hosts but are inadequate for properties rented frequently or year-round.</w:t>
      </w:r>
    </w:p>
    <w:p>
      <w:pPr>
        <w:spacing w:after="0" w:before="80"/>
      </w:pPr>
      <w:r>
        <w:rPr>
          <w:rFonts w:ascii="Arial" w:cs="Arial" w:eastAsia="Arial" w:hAnsi="Arial"/>
        </w:rPr>
        <w:t xml:space="preserve"/>
      </w:r>
    </w:p>
    <w:p>
      <w:pPr>
        <w:spacing w:after="110" w:before="80"/>
      </w:pPr>
      <w:r>
        <w:rPr>
          <w:rFonts w:ascii="Arial" w:cs="Arial" w:eastAsia="Arial" w:hAnsi="Arial"/>
          <w:color w:val="1A1E28"/>
          <w:sz w:val="22"/>
          <w:szCs w:val="22"/>
        </w:rPr>
        <w:t xml:space="preserve">Other carriers take a hard line: any commercial rental activity at the property voids coverage for any loss occurring during a rental period. Some carriers will cancel or non-renew a policy upon discovery of vacation rental activity that was not disclosed at application. The safest approach for any property used as a vacation rental, regardless of frequency, is a dedicated vacation rental insurance policy.</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A6830" w:sz="18"/>
              <w:bottom w:val="none" w:color="FFFFFF" w:sz="0"/>
              <w:right w:val="none" w:color="FFFFFF" w:sz="0"/>
            </w:tcBorders>
            <w:shd w:fill="FBF7EE" w:val="clear"/>
            <w:tcMar>
              <w:top w:type="dxa" w:w="110"/>
              <w:left w:type="dxa" w:w="200"/>
              <w:bottom w:type="dxa" w:w="110"/>
              <w:right w:type="dxa" w:w="160"/>
            </w:tcMar>
          </w:tcPr>
          <w:p>
            <w:pPr>
              <w:spacing w:after="60" w:before="0"/>
            </w:pPr>
            <w:r>
              <w:rPr>
                <w:rFonts w:ascii="Arial" w:cs="Arial" w:eastAsia="Arial" w:hAnsi="Arial"/>
                <w:b/>
                <w:bCs/>
                <w:caps/>
                <w:color w:val="6B5020"/>
                <w:sz w:val="19"/>
                <w:szCs w:val="19"/>
              </w:rPr>
              <w:t xml:space="preserve">The Occasional Host Endorsement Trap</w:t>
            </w:r>
          </w:p>
          <w:p>
            <w:pPr>
              <w:spacing w:after="0" w:before="0"/>
            </w:pPr>
            <w:r>
              <w:rPr>
                <w:rFonts w:ascii="Arial" w:cs="Arial" w:eastAsia="Arial" w:hAnsi="Arial"/>
                <w:color w:val="4A3010"/>
                <w:sz w:val="20"/>
                <w:szCs w:val="20"/>
              </w:rPr>
              <w:t xml:space="preserve">Some insurers offer endorsements for “occasional” home sharing that appear to solve the vacation rental coverage problem. These endorsements typically have strict day limits, lower liability limits than a standalone policy, and exclude many of the specific risks — guest theft, intentional damage, loss of rental income — that dedicated vacation rental policies cover. They are better than nothing but are not a substitute for purpose-built vacation rental coverage.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8B2E00" w:val="clear"/>
            <w:tcMar>
              <w:top w:type="dxa" w:w="160"/>
              <w:left w:type="dxa" w:w="240"/>
              <w:bottom w:type="dxa" w:w="160"/>
              <w:right w:type="dxa" w:w="240"/>
            </w:tcMar>
          </w:tcPr>
          <w:p>
            <w:pPr>
              <w:spacing w:after="0" w:before="0"/>
            </w:pPr>
            <w:r>
              <w:rPr>
                <w:rFonts w:ascii="Arial" w:cs="Arial" w:eastAsia="Arial" w:hAnsi="Arial"/>
                <w:b/>
                <w:bCs/>
                <w:color w:val="ECC0A8"/>
                <w:sz w:val="28"/>
                <w:szCs w:val="28"/>
              </w:rPr>
              <w:t xml:space="preserve">5.  </w:t>
            </w:r>
            <w:r>
              <w:rPr>
                <w:rFonts w:ascii="Arial" w:cs="Arial" w:eastAsia="Arial" w:hAnsi="Arial"/>
                <w:b/>
                <w:bCs/>
                <w:color w:val="FFFFFF"/>
                <w:sz w:val="28"/>
                <w:szCs w:val="28"/>
              </w:rPr>
              <w:t xml:space="preserve">Who Needs Dedicated Vacation Rental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A1E28"/>
          <w:sz w:val="22"/>
          <w:szCs w:val="22"/>
        </w:rPr>
        <w:t xml:space="preserve">The answer to who needs vacation rental insurance is: any property owner who accepts payment from guests for short-term occupancy of any property, in any capacity, with any frequency. The threshold is the commercial act of accepting payment — not the frequency of rentals, the platform used, or whether the owner is present.</w:t>
      </w:r>
    </w:p>
    <w:p>
      <w:pPr>
        <w:spacing w:after="0" w:before="100"/>
      </w:pPr>
      <w:r>
        <w:rPr>
          <w:rFonts w:ascii="Arial" w:cs="Arial" w:eastAsia="Arial" w:hAnsi="Arial"/>
        </w:rPr>
        <w:t xml:space="preserve"/>
      </w:r>
    </w:p>
    <w:p>
      <w:pPr>
        <w:pBdr>
          <w:bottom w:val="single" w:color="ECC0A8" w:sz="4" w:space="4"/>
        </w:pBdr>
        <w:spacing w:after="80" w:before="220"/>
      </w:pPr>
      <w:r>
        <w:rPr>
          <w:rFonts w:ascii="Arial" w:cs="Arial" w:eastAsia="Arial" w:hAnsi="Arial"/>
          <w:b/>
          <w:bCs/>
          <w:color w:val="8B2E00"/>
          <w:sz w:val="24"/>
          <w:szCs w:val="24"/>
        </w:rPr>
        <w:t xml:space="preserve">Who Clearly Needs Dedicated Vacation Rental Insurance</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B84020"/>
          <w:sz w:val="22"/>
          <w:szCs w:val="22"/>
        </w:rPr>
        <w:t xml:space="preserve">Full-time vacation rental operators — </w:t>
      </w:r>
      <w:r>
        <w:rPr>
          <w:rFonts w:ascii="Arial" w:cs="Arial" w:eastAsia="Arial" w:hAnsi="Arial"/>
          <w:color w:val="363C4A"/>
          <w:sz w:val="22"/>
          <w:szCs w:val="22"/>
        </w:rPr>
        <w:t xml:space="preserve">owners who rent their property year-round or for the majority of the year as a primary income source; standard homeowners insurance is completely inadequate</w:t>
      </w:r>
    </w:p>
    <w:p>
      <w:pPr>
        <w:pStyle w:val="ListParagraph"/>
        <w:numPr>
          <w:ilvl w:val="0"/>
          <w:numId w:val="2"/>
        </w:numPr>
        <w:spacing w:after="60" w:before="60"/>
      </w:pPr>
      <w:r>
        <w:rPr>
          <w:rFonts w:ascii="Arial" w:cs="Arial" w:eastAsia="Arial" w:hAnsi="Arial"/>
          <w:b/>
          <w:bCs/>
          <w:color w:val="B84020"/>
          <w:sz w:val="22"/>
          <w:szCs w:val="22"/>
        </w:rPr>
        <w:t xml:space="preserve">Seasonal vacation rental owners — </w:t>
      </w:r>
      <w:r>
        <w:rPr>
          <w:rFonts w:ascii="Arial" w:cs="Arial" w:eastAsia="Arial" w:hAnsi="Arial"/>
          <w:color w:val="363C4A"/>
          <w:sz w:val="22"/>
          <w:szCs w:val="22"/>
        </w:rPr>
        <w:t xml:space="preserve">owners who rent a beach house, mountain cabin, or lake house during peak season; each rental period creates commercial liability exposure that homeowners insurance excludes</w:t>
      </w:r>
    </w:p>
    <w:p>
      <w:pPr>
        <w:pStyle w:val="ListParagraph"/>
        <w:numPr>
          <w:ilvl w:val="0"/>
          <w:numId w:val="2"/>
        </w:numPr>
        <w:spacing w:after="60" w:before="60"/>
      </w:pPr>
      <w:r>
        <w:rPr>
          <w:rFonts w:ascii="Arial" w:cs="Arial" w:eastAsia="Arial" w:hAnsi="Arial"/>
          <w:b/>
          <w:bCs/>
          <w:color w:val="B84020"/>
          <w:sz w:val="22"/>
          <w:szCs w:val="22"/>
        </w:rPr>
        <w:t xml:space="preserve">Occasional Airbnb and VRBO hosts — </w:t>
      </w:r>
      <w:r>
        <w:rPr>
          <w:rFonts w:ascii="Arial" w:cs="Arial" w:eastAsia="Arial" w:hAnsi="Arial"/>
          <w:color w:val="363C4A"/>
          <w:sz w:val="22"/>
          <w:szCs w:val="22"/>
        </w:rPr>
        <w:t xml:space="preserve">even hosts who rent infrequently — a few weekends a year — need proper coverage; a single guest injury during one rental period can result in a six-figure liability claim</w:t>
      </w:r>
    </w:p>
    <w:p>
      <w:pPr>
        <w:pStyle w:val="ListParagraph"/>
        <w:numPr>
          <w:ilvl w:val="0"/>
          <w:numId w:val="2"/>
        </w:numPr>
        <w:spacing w:after="60" w:before="60"/>
      </w:pPr>
      <w:r>
        <w:rPr>
          <w:rFonts w:ascii="Arial" w:cs="Arial" w:eastAsia="Arial" w:hAnsi="Arial"/>
          <w:b/>
          <w:bCs/>
          <w:color w:val="B84020"/>
          <w:sz w:val="22"/>
          <w:szCs w:val="22"/>
        </w:rPr>
        <w:t xml:space="preserve">Investment property short-term rental owners — </w:t>
      </w:r>
      <w:r>
        <w:rPr>
          <w:rFonts w:ascii="Arial" w:cs="Arial" w:eastAsia="Arial" w:hAnsi="Arial"/>
          <w:color w:val="363C4A"/>
          <w:sz w:val="22"/>
          <w:szCs w:val="22"/>
        </w:rPr>
        <w:t xml:space="preserve">investors who purchased properties specifically as vacation rental investments face the full commercial risk profile and need robust dedicated coverage</w:t>
      </w:r>
    </w:p>
    <w:p>
      <w:pPr>
        <w:pStyle w:val="ListParagraph"/>
        <w:numPr>
          <w:ilvl w:val="0"/>
          <w:numId w:val="2"/>
        </w:numPr>
        <w:spacing w:after="60" w:before="60"/>
      </w:pPr>
      <w:r>
        <w:rPr>
          <w:rFonts w:ascii="Arial" w:cs="Arial" w:eastAsia="Arial" w:hAnsi="Arial"/>
          <w:b/>
          <w:bCs/>
          <w:color w:val="B84020"/>
          <w:sz w:val="22"/>
          <w:szCs w:val="22"/>
        </w:rPr>
        <w:t xml:space="preserve">Vacation rental managers — </w:t>
      </w:r>
      <w:r>
        <w:rPr>
          <w:rFonts w:ascii="Arial" w:cs="Arial" w:eastAsia="Arial" w:hAnsi="Arial"/>
          <w:color w:val="363C4A"/>
          <w:sz w:val="22"/>
          <w:szCs w:val="22"/>
        </w:rPr>
        <w:t xml:space="preserve">property managers who manage short-term rentals on behalf of others face professional liability and operational liability that neither homeowners nor standard landlord insurance addresses</w:t>
      </w:r>
    </w:p>
    <w:p>
      <w:pPr>
        <w:pStyle w:val="ListParagraph"/>
        <w:numPr>
          <w:ilvl w:val="0"/>
          <w:numId w:val="2"/>
        </w:numPr>
        <w:spacing w:after="60" w:before="60"/>
      </w:pPr>
      <w:r>
        <w:rPr>
          <w:rFonts w:ascii="Arial" w:cs="Arial" w:eastAsia="Arial" w:hAnsi="Arial"/>
          <w:b/>
          <w:bCs/>
          <w:color w:val="B84020"/>
          <w:sz w:val="22"/>
          <w:szCs w:val="22"/>
        </w:rPr>
        <w:t xml:space="preserve">Condo unit short-term rental hosts — </w:t>
      </w:r>
      <w:r>
        <w:rPr>
          <w:rFonts w:ascii="Arial" w:cs="Arial" w:eastAsia="Arial" w:hAnsi="Arial"/>
          <w:color w:val="363C4A"/>
          <w:sz w:val="22"/>
          <w:szCs w:val="22"/>
        </w:rPr>
        <w:t xml:space="preserve">condo owners who rent their unit short-term face the same commercial activity exclusion as single-family home owners and need an HO-6 equivalent with vacation rental endorsements or a standalone policy</w:t>
      </w:r>
    </w:p>
    <w:p>
      <w:pPr>
        <w:spacing w:after="0" w:before="100"/>
      </w:pPr>
      <w:r>
        <w:rPr>
          <w:rFonts w:ascii="Arial" w:cs="Arial" w:eastAsia="Arial" w:hAnsi="Arial"/>
        </w:rPr>
        <w:t xml:space="preserve"/>
      </w:r>
    </w:p>
    <w:p>
      <w:pPr>
        <w:pBdr>
          <w:bottom w:val="single" w:color="ECC0A8" w:sz="4" w:space="4"/>
        </w:pBdr>
        <w:spacing w:after="80" w:before="220"/>
      </w:pPr>
      <w:r>
        <w:rPr>
          <w:rFonts w:ascii="Arial" w:cs="Arial" w:eastAsia="Arial" w:hAnsi="Arial"/>
          <w:b/>
          <w:bCs/>
          <w:color w:val="8B2E00"/>
          <w:sz w:val="24"/>
          <w:szCs w:val="24"/>
        </w:rPr>
        <w:t xml:space="preserve">Common Misconceptions About Who Needs Vacation Rental Insurance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C0CCCC" w:sz="1"/>
              <w:left w:val="single" w:color="C0CCCC" w:sz="1"/>
              <w:bottom w:val="single" w:color="C0CCCC" w:sz="1"/>
              <w:right w:val="single" w:color="C0CCCC" w:sz="1"/>
            </w:tcBorders>
            <w:shd w:fill="FDF2EE" w:val="clear"/>
            <w:tcMar>
              <w:top w:type="dxa" w:w="110"/>
              <w:left w:type="dxa" w:w="160"/>
              <w:bottom w:type="dxa" w:w="110"/>
              <w:right w:type="dxa" w:w="160"/>
            </w:tcMar>
          </w:tcPr>
          <w:p>
            <w:pPr>
              <w:spacing w:after="60" w:before="0"/>
            </w:pPr>
            <w:r>
              <w:rPr>
                <w:rFonts w:ascii="Arial" w:cs="Arial" w:eastAsia="Arial" w:hAnsi="Arial"/>
                <w:b/>
                <w:bCs/>
                <w:color w:val="B84020"/>
                <w:sz w:val="19"/>
                <w:szCs w:val="19"/>
              </w:rPr>
              <w:t xml:space="preserve">"I only rent occasionally"</w:t>
            </w:r>
          </w:p>
          <w:p>
            <w:pPr>
              <w:spacing w:after="0" w:before="0"/>
            </w:pPr>
            <w:r>
              <w:rPr>
                <w:rFonts w:ascii="Arial" w:cs="Arial" w:eastAsia="Arial" w:hAnsi="Arial"/>
                <w:color w:val="363C4A"/>
                <w:sz w:val="20"/>
                <w:szCs w:val="20"/>
              </w:rPr>
              <w:t xml:space="preserve">Frequency does not reduce the risk of a single catastrophic incident. One guest injury during one rental can generate a liability claim of $100,000 or more. Commercial activity exclusions apply regardless of how rarely the property is rented.</w:t>
            </w:r>
          </w:p>
        </w:tc>
        <w:tc>
          <w:tcPr>
            <w:tcW w:type="dxa" w:w="4620"/>
            <w:tcBorders>
              <w:top w:val="single" w:color="C0CCCC" w:sz="1"/>
              <w:left w:val="single" w:color="C0CCCC" w:sz="1"/>
              <w:bottom w:val="single" w:color="C0CCCC" w:sz="1"/>
              <w:right w:val="single" w:color="C0CCCC" w:sz="1"/>
            </w:tcBorders>
            <w:shd w:fill="FDF2EE" w:val="clear"/>
            <w:tcMar>
              <w:top w:type="dxa" w:w="110"/>
              <w:left w:type="dxa" w:w="160"/>
              <w:bottom w:type="dxa" w:w="110"/>
              <w:right w:type="dxa" w:w="160"/>
            </w:tcMar>
          </w:tcPr>
          <w:p>
            <w:pPr>
              <w:spacing w:after="60" w:before="0"/>
            </w:pPr>
            <w:r>
              <w:rPr>
                <w:rFonts w:ascii="Arial" w:cs="Arial" w:eastAsia="Arial" w:hAnsi="Arial"/>
                <w:b/>
                <w:bCs/>
                <w:color w:val="B84020"/>
                <w:sz w:val="19"/>
                <w:szCs w:val="19"/>
              </w:rPr>
              <w:t xml:space="preserve">"The platform covers me"</w:t>
            </w:r>
          </w:p>
          <w:p>
            <w:pPr>
              <w:spacing w:after="0" w:before="0"/>
            </w:pPr>
            <w:r>
              <w:rPr>
                <w:rFonts w:ascii="Arial" w:cs="Arial" w:eastAsia="Arial" w:hAnsi="Arial"/>
                <w:color w:val="363C4A"/>
                <w:sz w:val="20"/>
                <w:szCs w:val="20"/>
              </w:rPr>
              <w:t xml:space="preserve">Platform protections like Airbnb AirCover and VRBO’s host guarantee have significant limitations, exclusions, and caps that leave most hosts with meaningful uninsured exposure. They are not insurance in the traditional sense.</w:t>
            </w:r>
          </w:p>
        </w:tc>
      </w:tr>
      <w:tr>
        <w:tc>
          <w:tcPr>
            <w:tcW w:type="dxa" w:w="4620"/>
            <w:tcBorders>
              <w:top w:val="single" w:color="C0CCCC" w:sz="1"/>
              <w:left w:val="single" w:color="C0CCCC" w:sz="1"/>
              <w:bottom w:val="single" w:color="C0CCCC" w:sz="1"/>
              <w:right w:val="single" w:color="C0CCCC" w:sz="1"/>
            </w:tcBorders>
            <w:shd w:fill="FDF2EE" w:val="clear"/>
            <w:tcMar>
              <w:top w:type="dxa" w:w="110"/>
              <w:left w:type="dxa" w:w="160"/>
              <w:bottom w:type="dxa" w:w="110"/>
              <w:right w:type="dxa" w:w="160"/>
            </w:tcMar>
          </w:tcPr>
          <w:p>
            <w:pPr>
              <w:spacing w:after="60" w:before="0"/>
            </w:pPr>
            <w:r>
              <w:rPr>
                <w:rFonts w:ascii="Arial" w:cs="Arial" w:eastAsia="Arial" w:hAnsi="Arial"/>
                <w:b/>
                <w:bCs/>
                <w:color w:val="B84020"/>
                <w:sz w:val="19"/>
                <w:szCs w:val="19"/>
              </w:rPr>
              <w:t xml:space="preserve">"My homeowners policy is enough"</w:t>
            </w:r>
          </w:p>
          <w:p>
            <w:pPr>
              <w:spacing w:after="0" w:before="0"/>
            </w:pPr>
            <w:r>
              <w:rPr>
                <w:rFonts w:ascii="Arial" w:cs="Arial" w:eastAsia="Arial" w:hAnsi="Arial"/>
                <w:color w:val="363C4A"/>
                <w:sz w:val="20"/>
                <w:szCs w:val="20"/>
              </w:rPr>
              <w:t xml:space="preserve">Standard homeowners policies explicitly exclude commercial rental activity. A claim arising during a rental period is likely to be denied based on the commercial activity exclusion, regardless of the nature of the loss.</w:t>
            </w:r>
          </w:p>
        </w:tc>
        <w:tc>
          <w:tcPr>
            <w:tcW w:type="dxa" w:w="4620"/>
            <w:tcBorders>
              <w:top w:val="single" w:color="C0CCCC" w:sz="1"/>
              <w:left w:val="single" w:color="C0CCCC" w:sz="1"/>
              <w:bottom w:val="single" w:color="C0CCCC" w:sz="1"/>
              <w:right w:val="single" w:color="C0CCCC" w:sz="1"/>
            </w:tcBorders>
            <w:shd w:fill="FDF2EE" w:val="clear"/>
            <w:tcMar>
              <w:top w:type="dxa" w:w="110"/>
              <w:left w:type="dxa" w:w="160"/>
              <w:bottom w:type="dxa" w:w="110"/>
              <w:right w:type="dxa" w:w="160"/>
            </w:tcMar>
          </w:tcPr>
          <w:p>
            <w:pPr>
              <w:spacing w:after="60" w:before="0"/>
            </w:pPr>
            <w:r>
              <w:rPr>
                <w:rFonts w:ascii="Arial" w:cs="Arial" w:eastAsia="Arial" w:hAnsi="Arial"/>
                <w:b/>
                <w:bCs/>
                <w:color w:val="B84020"/>
                <w:sz w:val="19"/>
                <w:szCs w:val="19"/>
              </w:rPr>
              <w:t xml:space="preserve">"I have a security deposit"</w:t>
            </w:r>
          </w:p>
          <w:p>
            <w:pPr>
              <w:spacing w:after="0" w:before="0"/>
            </w:pPr>
            <w:r>
              <w:rPr>
                <w:rFonts w:ascii="Arial" w:cs="Arial" w:eastAsia="Arial" w:hAnsi="Arial"/>
                <w:color w:val="363C4A"/>
                <w:sz w:val="20"/>
                <w:szCs w:val="20"/>
              </w:rPr>
              <w:t xml:space="preserve">Security deposits cover minor damage but are entirely inadequate for structural damage, liability claims, or major property losses. They are a risk management tool, not insurance.</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B84020" w:sz="18"/>
              <w:bottom w:val="none" w:color="FFFFFF" w:sz="0"/>
              <w:right w:val="none" w:color="FFFFFF" w:sz="0"/>
            </w:tcBorders>
            <w:shd w:fill="FDF2EE" w:val="clear"/>
            <w:tcMar>
              <w:top w:type="dxa" w:w="110"/>
              <w:left w:type="dxa" w:w="200"/>
              <w:bottom w:type="dxa" w:w="110"/>
              <w:right w:type="dxa" w:w="160"/>
            </w:tcMar>
          </w:tcPr>
          <w:p>
            <w:pPr>
              <w:spacing w:after="60" w:before="0"/>
            </w:pPr>
            <w:r>
              <w:rPr>
                <w:rFonts w:ascii="Arial" w:cs="Arial" w:eastAsia="Arial" w:hAnsi="Arial"/>
                <w:b/>
                <w:bCs/>
                <w:caps/>
                <w:color w:val="B84020"/>
                <w:sz w:val="19"/>
                <w:szCs w:val="19"/>
              </w:rPr>
              <w:t xml:space="preserve">The Cost of Being Uninsured During a Rental</w:t>
            </w:r>
          </w:p>
          <w:p>
            <w:pPr>
              <w:spacing w:after="0" w:before="0"/>
            </w:pPr>
            <w:r>
              <w:rPr>
                <w:rFonts w:ascii="Arial" w:cs="Arial" w:eastAsia="Arial" w:hAnsi="Arial"/>
                <w:color w:val="4A1800"/>
                <w:sz w:val="20"/>
                <w:szCs w:val="20"/>
              </w:rPr>
              <w:t xml:space="preserve">A guest at an uninsured vacation rental falls through a deck with deteriorated wood and suffers a broken spine. Medical treatment: $320,000. Lost wages: $85,000. Legal fees and pain and suffering: $200,000+. Total liability exposure: $600,000+. The property owner’s homeowners policy denies the claim (commercial activity exclusion). The owner has no vacation rental insurance. Personal assets, retirement accounts, and future earnings are at risk.</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8B2E00" w:val="clear"/>
            <w:tcMar>
              <w:top w:type="dxa" w:w="160"/>
              <w:left w:type="dxa" w:w="240"/>
              <w:bottom w:type="dxa" w:w="160"/>
              <w:right w:type="dxa" w:w="240"/>
            </w:tcMar>
          </w:tcPr>
          <w:p>
            <w:pPr>
              <w:spacing w:after="0" w:before="0"/>
            </w:pPr>
            <w:r>
              <w:rPr>
                <w:rFonts w:ascii="Arial" w:cs="Arial" w:eastAsia="Arial" w:hAnsi="Arial"/>
                <w:b/>
                <w:bCs/>
                <w:color w:val="ECC0A8"/>
                <w:sz w:val="28"/>
                <w:szCs w:val="28"/>
              </w:rPr>
              <w:t xml:space="preserve">6.  </w:t>
            </w:r>
            <w:r>
              <w:rPr>
                <w:rFonts w:ascii="Arial" w:cs="Arial" w:eastAsia="Arial" w:hAnsi="Arial"/>
                <w:b/>
                <w:bCs/>
                <w:color w:val="FFFFFF"/>
                <w:sz w:val="28"/>
                <w:szCs w:val="28"/>
              </w:rPr>
              <w:t xml:space="preserve">Short-Term Rental vs. Long-Term Rental Insurance Differences</w:t>
            </w:r>
          </w:p>
        </w:tc>
      </w:tr>
    </w:tbl>
    <w:p>
      <w:pPr>
        <w:spacing w:after="0" w:before="100"/>
      </w:pPr>
      <w:r>
        <w:rPr>
          <w:rFonts w:ascii="Arial" w:cs="Arial" w:eastAsia="Arial" w:hAnsi="Arial"/>
        </w:rPr>
        <w:t xml:space="preserve"/>
      </w:r>
    </w:p>
    <w:p>
      <w:pPr>
        <w:spacing w:after="110" w:before="80"/>
      </w:pPr>
      <w:r>
        <w:rPr>
          <w:rFonts w:ascii="Arial" w:cs="Arial" w:eastAsia="Arial" w:hAnsi="Arial"/>
          <w:color w:val="1A1E28"/>
          <w:sz w:val="22"/>
          <w:szCs w:val="22"/>
        </w:rPr>
        <w:t xml:space="preserve">The distinction between short-term and long-term rental insurance is one of the most important and frequently misunderstood concepts in property insurance for rental owners. The duration of the rental relationship fundamentally changes the risk profile, the legal relationship between owner and occupant, and the type of insurance that is appropriate.</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C0CCCC" w:sz="1"/>
              <w:left w:val="single" w:color="C0CCCC" w:sz="1"/>
              <w:bottom w:val="single" w:color="C0CCCC" w:sz="1"/>
              <w:right w:val="single" w:color="C0CCCC" w:sz="1"/>
            </w:tcBorders>
            <w:shd w:fill="FDF2EE" w:val="clear"/>
            <w:tcMar>
              <w:top w:type="dxa" w:w="110"/>
              <w:left w:type="dxa" w:w="160"/>
              <w:bottom w:type="dxa" w:w="110"/>
              <w:right w:type="dxa" w:w="160"/>
            </w:tcMar>
          </w:tcPr>
          <w:p>
            <w:pPr>
              <w:spacing w:after="60" w:before="0"/>
            </w:pPr>
            <w:r>
              <w:rPr>
                <w:rFonts w:ascii="Arial" w:cs="Arial" w:eastAsia="Arial" w:hAnsi="Arial"/>
                <w:b/>
                <w:bCs/>
                <w:color w:val="B84020"/>
                <w:sz w:val="19"/>
                <w:szCs w:val="19"/>
              </w:rPr>
              <w:t xml:space="preserve">Short-Term Rental</w:t>
            </w:r>
          </w:p>
          <w:p>
            <w:pPr>
              <w:spacing w:after="0" w:before="0"/>
            </w:pPr>
            <w:r>
              <w:rPr>
                <w:rFonts w:ascii="Arial" w:cs="Arial" w:eastAsia="Arial" w:hAnsi="Arial"/>
                <w:color w:val="363C4A"/>
                <w:sz w:val="20"/>
                <w:szCs w:val="20"/>
              </w:rPr>
              <w:t xml:space="preserve">Rental for periods typically ranging from one night to 30 days. Guests are transient visitors with no tenancy rights. The property is often fully furnished and marketed as a hospitality product. Common platforms: Airbnb, VRBO, Booking.com.</w:t>
            </w:r>
          </w:p>
        </w:tc>
        <w:tc>
          <w:tcPr>
            <w:tcW w:type="dxa" w:w="4620"/>
            <w:tcBorders>
              <w:top w:val="single" w:color="C0CCCC" w:sz="1"/>
              <w:left w:val="single" w:color="C0CCCC" w:sz="1"/>
              <w:bottom w:val="single" w:color="C0CCCC" w:sz="1"/>
              <w:right w:val="single" w:color="C0CCCC" w:sz="1"/>
            </w:tcBorders>
            <w:shd w:fill="FDF2EE" w:val="clear"/>
            <w:tcMar>
              <w:top w:type="dxa" w:w="110"/>
              <w:left w:type="dxa" w:w="160"/>
              <w:bottom w:type="dxa" w:w="110"/>
              <w:right w:type="dxa" w:w="160"/>
            </w:tcMar>
          </w:tcPr>
          <w:p>
            <w:pPr>
              <w:spacing w:after="60" w:before="0"/>
            </w:pPr>
            <w:r>
              <w:rPr>
                <w:rFonts w:ascii="Arial" w:cs="Arial" w:eastAsia="Arial" w:hAnsi="Arial"/>
                <w:b/>
                <w:bCs/>
                <w:color w:val="B84020"/>
                <w:sz w:val="19"/>
                <w:szCs w:val="19"/>
              </w:rPr>
              <w:t xml:space="preserve">Long-Term Rental</w:t>
            </w:r>
          </w:p>
          <w:p>
            <w:pPr>
              <w:spacing w:after="0" w:before="0"/>
            </w:pPr>
            <w:r>
              <w:rPr>
                <w:rFonts w:ascii="Arial" w:cs="Arial" w:eastAsia="Arial" w:hAnsi="Arial"/>
                <w:color w:val="363C4A"/>
                <w:sz w:val="20"/>
                <w:szCs w:val="20"/>
              </w:rPr>
              <w:t xml:space="preserve">Rental under a formal lease agreement for 30 days or more, typically 6–12 months. Tenants have legal tenancy rights and responsibilities. The property may be unfurnished or partially furnished. Governed by landlord-tenant law.</w:t>
            </w:r>
          </w:p>
        </w:tc>
      </w:tr>
      <w:tr>
        <w:tc>
          <w:tcPr>
            <w:tcW w:type="dxa" w:w="4620"/>
            <w:tcBorders>
              <w:top w:val="single" w:color="C0CCCC" w:sz="1"/>
              <w:left w:val="single" w:color="C0CCCC" w:sz="1"/>
              <w:bottom w:val="single" w:color="C0CCCC" w:sz="1"/>
              <w:right w:val="single" w:color="C0CCCC" w:sz="1"/>
            </w:tcBorders>
            <w:shd w:fill="FDF2EE" w:val="clear"/>
            <w:tcMar>
              <w:top w:type="dxa" w:w="110"/>
              <w:left w:type="dxa" w:w="160"/>
              <w:bottom w:type="dxa" w:w="110"/>
              <w:right w:type="dxa" w:w="160"/>
            </w:tcMar>
          </w:tcPr>
          <w:p>
            <w:pPr>
              <w:spacing w:after="60" w:before="0"/>
            </w:pPr>
            <w:r>
              <w:rPr>
                <w:rFonts w:ascii="Arial" w:cs="Arial" w:eastAsia="Arial" w:hAnsi="Arial"/>
                <w:b/>
                <w:bCs/>
                <w:color w:val="B84020"/>
                <w:sz w:val="19"/>
                <w:szCs w:val="19"/>
              </w:rPr>
              <w:t xml:space="preserve">Medium-Term / Monthly</w:t>
            </w:r>
          </w:p>
          <w:p>
            <w:pPr>
              <w:spacing w:after="0" w:before="0"/>
            </w:pPr>
            <w:r>
              <w:rPr>
                <w:rFonts w:ascii="Arial" w:cs="Arial" w:eastAsia="Arial" w:hAnsi="Arial"/>
                <w:color w:val="363C4A"/>
                <w:sz w:val="20"/>
                <w:szCs w:val="20"/>
              </w:rPr>
              <w:t xml:space="preserve">A growing segment for stays of 30–90 days — remote workers, traveling nurses, corporate relocation. May fall in an insurance gray area; some vacation rental policies cover this; some do not. Confirm coverage with your insurer.</w:t>
            </w:r>
          </w:p>
        </w:tc>
        <w:tc>
          <w:tcPr>
            <w:tcW w:type="dxa" w:w="4620"/>
            <w:tcBorders>
              <w:top w:val="single" w:color="C0CCCC" w:sz="1"/>
              <w:left w:val="single" w:color="C0CCCC" w:sz="1"/>
              <w:bottom w:val="single" w:color="C0CCCC" w:sz="1"/>
              <w:right w:val="single" w:color="C0CCCC" w:sz="1"/>
            </w:tcBorders>
            <w:shd w:fill="FDF2EE" w:val="clear"/>
            <w:tcMar>
              <w:top w:type="dxa" w:w="110"/>
              <w:left w:type="dxa" w:w="160"/>
              <w:bottom w:type="dxa" w:w="110"/>
              <w:right w:type="dxa" w:w="160"/>
            </w:tcMar>
          </w:tcPr>
          <w:p>
            <w:pPr>
              <w:spacing w:after="60" w:before="0"/>
            </w:pPr>
            <w:r>
              <w:rPr>
                <w:rFonts w:ascii="Arial" w:cs="Arial" w:eastAsia="Arial" w:hAnsi="Arial"/>
                <w:b/>
                <w:bCs/>
                <w:color w:val="B84020"/>
                <w:sz w:val="19"/>
                <w:szCs w:val="19"/>
              </w:rPr>
              <w:t xml:space="preserve">The Legal Line</w:t>
            </w:r>
          </w:p>
          <w:p>
            <w:pPr>
              <w:spacing w:after="0" w:before="0"/>
            </w:pPr>
            <w:r>
              <w:rPr>
                <w:rFonts w:ascii="Arial" w:cs="Arial" w:eastAsia="Arial" w:hAnsi="Arial"/>
                <w:color w:val="363C4A"/>
                <w:sz w:val="20"/>
                <w:szCs w:val="20"/>
              </w:rPr>
              <w:t xml:space="preserve">In most states, 30 days marks the threshold between short-term (transient) occupancy and long-term tenancy rights. Crossing this threshold changes the legal relationship and can significantly affect both insurance coverage and the owner’s ability to remove a guest who becomes a problem tenant.</w:t>
            </w:r>
          </w:p>
        </w:tc>
      </w:tr>
    </w:tbl>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900"/>
        <w:gridCol w:w="3230"/>
        <w:gridCol w:w="3230"/>
      </w:tblGrid>
      <w:tr>
        <w:tc>
          <w:tcPr>
            <w:tcW w:type="dxa" w:w="2900"/>
            <w:tcBorders>
              <w:top w:val="none" w:color="FFFFFF" w:sz="0"/>
              <w:left w:val="none" w:color="FFFFFF" w:sz="0"/>
              <w:bottom w:val="none" w:color="FFFFFF" w:sz="0"/>
              <w:right w:val="none" w:color="FFFFFF" w:sz="0"/>
            </w:tcBorders>
            <w:shd w:fill="2A384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Risk Factor</w:t>
            </w:r>
          </w:p>
        </w:tc>
        <w:tc>
          <w:tcPr>
            <w:tcW w:type="dxa" w:w="3230"/>
            <w:tcBorders>
              <w:top w:val="none" w:color="FFFFFF" w:sz="0"/>
              <w:left w:val="none" w:color="FFFFFF" w:sz="0"/>
              <w:bottom w:val="none" w:color="FFFFFF" w:sz="0"/>
              <w:right w:val="none" w:color="FFFFFF" w:sz="0"/>
            </w:tcBorders>
            <w:shd w:fill="B8402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Short-Term Rental</w:t>
            </w:r>
          </w:p>
        </w:tc>
        <w:tc>
          <w:tcPr>
            <w:tcW w:type="dxa" w:w="3230"/>
            <w:tcBorders>
              <w:top w:val="none" w:color="FFFFFF" w:sz="0"/>
              <w:left w:val="none" w:color="FFFFFF" w:sz="0"/>
              <w:bottom w:val="none" w:color="FFFFFF" w:sz="0"/>
              <w:right w:val="none" w:color="FFFFFF" w:sz="0"/>
            </w:tcBorders>
            <w:shd w:fill="B8402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Long-Term Rental</w:t>
            </w:r>
          </w:p>
        </w:tc>
      </w:tr>
      <w:tr>
        <w:tc>
          <w:tcPr>
            <w:tcW w:type="dxa" w:w="290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Turnover frequency</w:t>
            </w:r>
          </w:p>
        </w:tc>
        <w:tc>
          <w:tcPr>
            <w:tcW w:type="dxa" w:w="32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Very high (weekly or more)</w:t>
            </w:r>
          </w:p>
        </w:tc>
        <w:tc>
          <w:tcPr>
            <w:tcW w:type="dxa" w:w="32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Low (annually)</w:t>
            </w:r>
          </w:p>
        </w:tc>
      </w:tr>
      <w:tr>
        <w:tc>
          <w:tcPr>
            <w:tcW w:type="dxa" w:w="290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Damage frequency</w:t>
            </w:r>
          </w:p>
        </w:tc>
        <w:tc>
          <w:tcPr>
            <w:tcW w:type="dxa" w:w="32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Higher — unknown guests</w:t>
            </w:r>
          </w:p>
        </w:tc>
        <w:tc>
          <w:tcPr>
            <w:tcW w:type="dxa" w:w="32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Lower — known, screened tenant</w:t>
            </w:r>
          </w:p>
        </w:tc>
      </w:tr>
      <w:tr>
        <w:tc>
          <w:tcPr>
            <w:tcW w:type="dxa" w:w="290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Liability exposure</w:t>
            </w:r>
          </w:p>
        </w:tc>
        <w:tc>
          <w:tcPr>
            <w:tcW w:type="dxa" w:w="32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Commercial hospitality standard</w:t>
            </w:r>
          </w:p>
        </w:tc>
        <w:tc>
          <w:tcPr>
            <w:tcW w:type="dxa" w:w="32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Residential premises standard</w:t>
            </w:r>
          </w:p>
        </w:tc>
      </w:tr>
      <w:tr>
        <w:tc>
          <w:tcPr>
            <w:tcW w:type="dxa" w:w="290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Furnished property risk</w:t>
            </w:r>
          </w:p>
        </w:tc>
        <w:tc>
          <w:tcPr>
            <w:tcW w:type="dxa" w:w="32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High — all furnishings at risk</w:t>
            </w:r>
          </w:p>
        </w:tc>
        <w:tc>
          <w:tcPr>
            <w:tcW w:type="dxa" w:w="32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Lower — often tenant-furnished</w:t>
            </w:r>
          </w:p>
        </w:tc>
      </w:tr>
      <w:tr>
        <w:tc>
          <w:tcPr>
            <w:tcW w:type="dxa" w:w="290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Income volatility</w:t>
            </w:r>
          </w:p>
        </w:tc>
        <w:tc>
          <w:tcPr>
            <w:tcW w:type="dxa" w:w="32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High — nightly rate fluctuations</w:t>
            </w:r>
          </w:p>
        </w:tc>
        <w:tc>
          <w:tcPr>
            <w:tcW w:type="dxa" w:w="32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Stable — fixed monthly rent</w:t>
            </w:r>
          </w:p>
        </w:tc>
      </w:tr>
      <w:tr>
        <w:tc>
          <w:tcPr>
            <w:tcW w:type="dxa" w:w="290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Business income coverage</w:t>
            </w:r>
          </w:p>
        </w:tc>
        <w:tc>
          <w:tcPr>
            <w:tcW w:type="dxa" w:w="32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Nightly rate replacement needed</w:t>
            </w:r>
          </w:p>
        </w:tc>
        <w:tc>
          <w:tcPr>
            <w:tcW w:type="dxa" w:w="32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Fair rental value replacement</w:t>
            </w:r>
          </w:p>
        </w:tc>
      </w:tr>
      <w:tr>
        <w:tc>
          <w:tcPr>
            <w:tcW w:type="dxa" w:w="290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Guest screening ability</w:t>
            </w:r>
          </w:p>
        </w:tc>
        <w:tc>
          <w:tcPr>
            <w:tcW w:type="dxa" w:w="32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Limited — platform-dependent</w:t>
            </w:r>
          </w:p>
        </w:tc>
        <w:tc>
          <w:tcPr>
            <w:tcW w:type="dxa" w:w="32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Full screening before tenancy</w:t>
            </w:r>
          </w:p>
        </w:tc>
      </w:tr>
      <w:tr>
        <w:tc>
          <w:tcPr>
            <w:tcW w:type="dxa" w:w="290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Insurance product</w:t>
            </w:r>
          </w:p>
        </w:tc>
        <w:tc>
          <w:tcPr>
            <w:tcW w:type="dxa" w:w="32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Vacation rental / STR insurance</w:t>
            </w:r>
          </w:p>
        </w:tc>
        <w:tc>
          <w:tcPr>
            <w:tcW w:type="dxa" w:w="32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Landlord / dwelling fire insurance</w:t>
            </w:r>
          </w:p>
        </w:tc>
      </w:tr>
      <w:tr>
        <w:tc>
          <w:tcPr>
            <w:tcW w:type="dxa" w:w="290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Platform involvement</w:t>
            </w:r>
          </w:p>
        </w:tc>
        <w:tc>
          <w:tcPr>
            <w:tcW w:type="dxa" w:w="32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Central — Airbnb, VRBO</w:t>
            </w:r>
          </w:p>
        </w:tc>
        <w:tc>
          <w:tcPr>
            <w:tcW w:type="dxa" w:w="32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Not applicable</w:t>
            </w:r>
          </w:p>
        </w:tc>
      </w:tr>
      <w:tr>
        <w:tc>
          <w:tcPr>
            <w:tcW w:type="dxa" w:w="290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Regulatory compliance</w:t>
            </w:r>
          </w:p>
        </w:tc>
        <w:tc>
          <w:tcPr>
            <w:tcW w:type="dxa" w:w="32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Local STR permits and licensing</w:t>
            </w:r>
          </w:p>
        </w:tc>
        <w:tc>
          <w:tcPr>
            <w:tcW w:type="dxa" w:w="32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Standard landlord-tenant law</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A6830" w:sz="18"/>
              <w:bottom w:val="none" w:color="FFFFFF" w:sz="0"/>
              <w:right w:val="none" w:color="FFFFFF" w:sz="0"/>
            </w:tcBorders>
            <w:shd w:fill="FBF7EE" w:val="clear"/>
            <w:tcMar>
              <w:top w:type="dxa" w:w="110"/>
              <w:left w:type="dxa" w:w="200"/>
              <w:bottom w:type="dxa" w:w="110"/>
              <w:right w:type="dxa" w:w="160"/>
            </w:tcMar>
          </w:tcPr>
          <w:p>
            <w:pPr>
              <w:spacing w:after="60" w:before="0"/>
            </w:pPr>
            <w:r>
              <w:rPr>
                <w:rFonts w:ascii="Arial" w:cs="Arial" w:eastAsia="Arial" w:hAnsi="Arial"/>
                <w:b/>
                <w:bCs/>
                <w:caps/>
                <w:color w:val="6B5020"/>
                <w:sz w:val="19"/>
                <w:szCs w:val="19"/>
              </w:rPr>
              <w:t xml:space="preserve">The 30-Day Rule Varies by Jurisdiction</w:t>
            </w:r>
          </w:p>
          <w:p>
            <w:pPr>
              <w:spacing w:after="0" w:before="0"/>
            </w:pPr>
            <w:r>
              <w:rPr>
                <w:rFonts w:ascii="Arial" w:cs="Arial" w:eastAsia="Arial" w:hAnsi="Arial"/>
                <w:color w:val="4A3010"/>
                <w:sz w:val="20"/>
                <w:szCs w:val="20"/>
              </w:rPr>
              <w:t xml:space="preserve">The threshold between short-term and long-term occupancy is not universally 30 days. Some jurisdictions define short-term rentals as fewer than 7 days; others use different thresholds. Local STR regulations vary enormously by city and county. Always confirm the applicable local definition of short-term rental for regulatory and insurance purposes.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1A7070" w:sz="18"/>
              <w:bottom w:val="none" w:color="FFFFFF" w:sz="0"/>
              <w:right w:val="none" w:color="FFFFFF" w:sz="0"/>
            </w:tcBorders>
            <w:shd w:fill="EAF5F5" w:val="clear"/>
            <w:tcMar>
              <w:top w:type="dxa" w:w="110"/>
              <w:left w:type="dxa" w:w="200"/>
              <w:bottom w:type="dxa" w:w="110"/>
              <w:right w:type="dxa" w:w="160"/>
            </w:tcMar>
          </w:tcPr>
          <w:p>
            <w:pPr>
              <w:spacing w:after="0" w:before="0"/>
            </w:pPr>
            <w:r>
              <w:rPr>
                <w:rFonts w:ascii="Arial" w:cs="Arial" w:eastAsia="Arial" w:hAnsi="Arial"/>
                <w:b/>
                <w:bCs/>
                <w:color w:val="0F5858"/>
                <w:sz w:val="20"/>
                <w:szCs w:val="20"/>
              </w:rPr>
              <w:t xml:space="preserve">Key Takeaway: </w:t>
            </w:r>
            <w:r>
              <w:rPr>
                <w:rFonts w:ascii="Arial" w:cs="Arial" w:eastAsia="Arial" w:hAnsi="Arial"/>
                <w:color w:val="363C4A"/>
                <w:sz w:val="20"/>
                <w:szCs w:val="20"/>
              </w:rPr>
              <w:t xml:space="preserve">Never assume that your short-term rental insurance covers medium-term stays (30–90 days) or vice versa. Clearly communicate the range of rental durations you offer to your insurer and confirm that all are covered under your policy before accepting bookings outside your typical rental pattern.</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8B2E00" w:val="clear"/>
            <w:tcMar>
              <w:top w:type="dxa" w:w="160"/>
              <w:left w:type="dxa" w:w="240"/>
              <w:bottom w:type="dxa" w:w="160"/>
              <w:right w:type="dxa" w:w="240"/>
            </w:tcMar>
          </w:tcPr>
          <w:p>
            <w:pPr>
              <w:spacing w:after="0" w:before="0"/>
            </w:pPr>
            <w:r>
              <w:rPr>
                <w:rFonts w:ascii="Arial" w:cs="Arial" w:eastAsia="Arial" w:hAnsi="Arial"/>
                <w:b/>
                <w:bCs/>
                <w:color w:val="ECC0A8"/>
                <w:sz w:val="28"/>
                <w:szCs w:val="28"/>
              </w:rPr>
              <w:t xml:space="preserve">7.  </w:t>
            </w:r>
            <w:r>
              <w:rPr>
                <w:rFonts w:ascii="Arial" w:cs="Arial" w:eastAsia="Arial" w:hAnsi="Arial"/>
                <w:b/>
                <w:bCs/>
                <w:color w:val="FFFFFF"/>
                <w:sz w:val="28"/>
                <w:szCs w:val="28"/>
              </w:rPr>
              <w:t xml:space="preserve">Owned vs. Managed Vacation Rental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A1E28"/>
          <w:sz w:val="22"/>
          <w:szCs w:val="22"/>
        </w:rPr>
        <w:t xml:space="preserve">Vacation rental insurance requirements and considerations differ significantly depending on whether you are the property owner renting your own property or a professional property manager operating short-term rentals on behalf of other owners. These two roles carry different legal responsibilities, different liabilities, and require different insurance structures.</w:t>
      </w:r>
    </w:p>
    <w:p>
      <w:pPr>
        <w:spacing w:after="0" w:before="100"/>
      </w:pPr>
      <w:r>
        <w:rPr>
          <w:rFonts w:ascii="Arial" w:cs="Arial" w:eastAsia="Arial" w:hAnsi="Arial"/>
        </w:rPr>
        <w:t xml:space="preserve"/>
      </w:r>
    </w:p>
    <w:p>
      <w:pPr>
        <w:pBdr>
          <w:bottom w:val="single" w:color="ECC0A8" w:sz="4" w:space="4"/>
        </w:pBdr>
        <w:spacing w:after="80" w:before="220"/>
      </w:pPr>
      <w:r>
        <w:rPr>
          <w:rFonts w:ascii="Arial" w:cs="Arial" w:eastAsia="Arial" w:hAnsi="Arial"/>
          <w:b/>
          <w:bCs/>
          <w:color w:val="8B2E00"/>
          <w:sz w:val="24"/>
          <w:szCs w:val="24"/>
        </w:rPr>
        <w:t xml:space="preserve">Owner-Operated Vacation Rental Insurance</w:t>
      </w:r>
    </w:p>
    <w:p>
      <w:pPr>
        <w:spacing w:after="110" w:before="80"/>
      </w:pPr>
      <w:r>
        <w:rPr>
          <w:rFonts w:ascii="Arial" w:cs="Arial" w:eastAsia="Arial" w:hAnsi="Arial"/>
          <w:color w:val="1A1E28"/>
          <w:sz w:val="22"/>
          <w:szCs w:val="22"/>
        </w:rPr>
        <w:t xml:space="preserve">When you own and personally manage a vacation rental property, your insurance responsibilities are straightforward: you need a comprehensive vacation rental policy that covers the building, contents, liability, and rental income for your property. You are the named insured and the sole party responsible for maintaining adequate coverage.</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C0CCCC" w:sz="1"/>
              <w:left w:val="single" w:color="C0CCCC" w:sz="1"/>
              <w:bottom w:val="single" w:color="C0CCCC" w:sz="1"/>
              <w:right w:val="single" w:color="C0CCCC" w:sz="1"/>
            </w:tcBorders>
            <w:shd w:fill="FDF2EE" w:val="clear"/>
            <w:tcMar>
              <w:top w:type="dxa" w:w="110"/>
              <w:left w:type="dxa" w:w="160"/>
              <w:bottom w:type="dxa" w:w="110"/>
              <w:right w:type="dxa" w:w="160"/>
            </w:tcMar>
          </w:tcPr>
          <w:p>
            <w:pPr>
              <w:spacing w:after="60" w:before="0"/>
            </w:pPr>
            <w:r>
              <w:rPr>
                <w:rFonts w:ascii="Arial" w:cs="Arial" w:eastAsia="Arial" w:hAnsi="Arial"/>
                <w:b/>
                <w:bCs/>
                <w:color w:val="B84020"/>
                <w:sz w:val="19"/>
                <w:szCs w:val="19"/>
              </w:rPr>
              <w:t xml:space="preserve">Property Coverage</w:t>
            </w:r>
          </w:p>
          <w:p>
            <w:pPr>
              <w:spacing w:after="0" w:before="0"/>
            </w:pPr>
            <w:r>
              <w:rPr>
                <w:rFonts w:ascii="Arial" w:cs="Arial" w:eastAsia="Arial" w:hAnsi="Arial"/>
                <w:color w:val="363C4A"/>
                <w:sz w:val="20"/>
                <w:szCs w:val="20"/>
              </w:rPr>
              <w:t xml:space="preserve">Building replacement cost, contents and furnishings at replacement cost, and owner’s personal property stored at the property. The property owner is responsible for insuring both the physical asset and its rental revenue stream.</w:t>
            </w:r>
          </w:p>
        </w:tc>
        <w:tc>
          <w:tcPr>
            <w:tcW w:type="dxa" w:w="4620"/>
            <w:tcBorders>
              <w:top w:val="single" w:color="C0CCCC" w:sz="1"/>
              <w:left w:val="single" w:color="C0CCCC" w:sz="1"/>
              <w:bottom w:val="single" w:color="C0CCCC" w:sz="1"/>
              <w:right w:val="single" w:color="C0CCCC" w:sz="1"/>
            </w:tcBorders>
            <w:shd w:fill="FDF2EE" w:val="clear"/>
            <w:tcMar>
              <w:top w:type="dxa" w:w="110"/>
              <w:left w:type="dxa" w:w="160"/>
              <w:bottom w:type="dxa" w:w="110"/>
              <w:right w:type="dxa" w:w="160"/>
            </w:tcMar>
          </w:tcPr>
          <w:p>
            <w:pPr>
              <w:spacing w:after="60" w:before="0"/>
            </w:pPr>
            <w:r>
              <w:rPr>
                <w:rFonts w:ascii="Arial" w:cs="Arial" w:eastAsia="Arial" w:hAnsi="Arial"/>
                <w:b/>
                <w:bCs/>
                <w:color w:val="B84020"/>
                <w:sz w:val="19"/>
                <w:szCs w:val="19"/>
              </w:rPr>
              <w:t xml:space="preserve">Liability Coverage</w:t>
            </w:r>
          </w:p>
          <w:p>
            <w:pPr>
              <w:spacing w:after="0" w:before="0"/>
            </w:pPr>
            <w:r>
              <w:rPr>
                <w:rFonts w:ascii="Arial" w:cs="Arial" w:eastAsia="Arial" w:hAnsi="Arial"/>
                <w:color w:val="363C4A"/>
                <w:sz w:val="20"/>
                <w:szCs w:val="20"/>
              </w:rPr>
              <w:t xml:space="preserve">Commercial premises liability for guest injuries, property damage caused by the owner’s property, and liability arising from the rental activity. Limits should reflect the property’s revenue and risk profile — typically $1 million or more for active rental properties.</w:t>
            </w:r>
          </w:p>
        </w:tc>
      </w:tr>
      <w:tr>
        <w:tc>
          <w:tcPr>
            <w:tcW w:type="dxa" w:w="4620"/>
            <w:tcBorders>
              <w:top w:val="single" w:color="C0CCCC" w:sz="1"/>
              <w:left w:val="single" w:color="C0CCCC" w:sz="1"/>
              <w:bottom w:val="single" w:color="C0CCCC" w:sz="1"/>
              <w:right w:val="single" w:color="C0CCCC" w:sz="1"/>
            </w:tcBorders>
            <w:shd w:fill="FDF2EE" w:val="clear"/>
            <w:tcMar>
              <w:top w:type="dxa" w:w="110"/>
              <w:left w:type="dxa" w:w="160"/>
              <w:bottom w:type="dxa" w:w="110"/>
              <w:right w:type="dxa" w:w="160"/>
            </w:tcMar>
          </w:tcPr>
          <w:p>
            <w:pPr>
              <w:spacing w:after="60" w:before="0"/>
            </w:pPr>
            <w:r>
              <w:rPr>
                <w:rFonts w:ascii="Arial" w:cs="Arial" w:eastAsia="Arial" w:hAnsi="Arial"/>
                <w:b/>
                <w:bCs/>
                <w:color w:val="B84020"/>
                <w:sz w:val="19"/>
                <w:szCs w:val="19"/>
              </w:rPr>
              <w:t xml:space="preserve">Rental Income Coverage</w:t>
            </w:r>
          </w:p>
          <w:p>
            <w:pPr>
              <w:spacing w:after="0" w:before="0"/>
            </w:pPr>
            <w:r>
              <w:rPr>
                <w:rFonts w:ascii="Arial" w:cs="Arial" w:eastAsia="Arial" w:hAnsi="Arial"/>
                <w:color w:val="363C4A"/>
                <w:sz w:val="20"/>
                <w:szCs w:val="20"/>
              </w:rPr>
              <w:t xml:space="preserve">Business income or lost rental income coverage reimburses the owner for lost booking revenue when the property is unusable due to a covered loss. Should be based on actual rental income, not generic fair market value.</w:t>
            </w:r>
          </w:p>
        </w:tc>
        <w:tc>
          <w:tcPr>
            <w:tcW w:type="dxa" w:w="4620"/>
            <w:tcBorders>
              <w:top w:val="single" w:color="C0CCCC" w:sz="1"/>
              <w:left w:val="single" w:color="C0CCCC" w:sz="1"/>
              <w:bottom w:val="single" w:color="C0CCCC" w:sz="1"/>
              <w:right w:val="single" w:color="C0CCCC" w:sz="1"/>
            </w:tcBorders>
            <w:shd w:fill="FDF2EE" w:val="clear"/>
            <w:tcMar>
              <w:top w:type="dxa" w:w="110"/>
              <w:left w:type="dxa" w:w="160"/>
              <w:bottom w:type="dxa" w:w="110"/>
              <w:right w:type="dxa" w:w="160"/>
            </w:tcMar>
          </w:tcPr>
          <w:p>
            <w:pPr>
              <w:spacing w:after="60" w:before="0"/>
            </w:pPr>
            <w:r>
              <w:rPr>
                <w:rFonts w:ascii="Arial" w:cs="Arial" w:eastAsia="Arial" w:hAnsi="Arial"/>
                <w:b/>
                <w:bCs/>
                <w:color w:val="B84020"/>
                <w:sz w:val="19"/>
                <w:szCs w:val="19"/>
              </w:rPr>
              <w:t xml:space="preserve">Guest Damage Coverage</w:t>
            </w:r>
          </w:p>
          <w:p>
            <w:pPr>
              <w:spacing w:after="0" w:before="0"/>
            </w:pPr>
            <w:r>
              <w:rPr>
                <w:rFonts w:ascii="Arial" w:cs="Arial" w:eastAsia="Arial" w:hAnsi="Arial"/>
                <w:color w:val="363C4A"/>
                <w:sz w:val="20"/>
                <w:szCs w:val="20"/>
              </w:rPr>
              <w:t xml:space="preserve">Coverage for damage caused by guests — accidental breakage, spills, and in better policies, intentional damage. A critical coverage given the frequency of guest-related property damage in short-term rentals.</w:t>
            </w:r>
          </w:p>
        </w:tc>
      </w:tr>
    </w:tbl>
    <w:p>
      <w:pPr>
        <w:spacing w:after="0" w:before="100"/>
      </w:pPr>
      <w:r>
        <w:rPr>
          <w:rFonts w:ascii="Arial" w:cs="Arial" w:eastAsia="Arial" w:hAnsi="Arial"/>
        </w:rPr>
        <w:t xml:space="preserve"/>
      </w:r>
    </w:p>
    <w:p>
      <w:pPr>
        <w:pBdr>
          <w:bottom w:val="single" w:color="ECC0A8" w:sz="4" w:space="4"/>
        </w:pBdr>
        <w:spacing w:after="80" w:before="220"/>
      </w:pPr>
      <w:r>
        <w:rPr>
          <w:rFonts w:ascii="Arial" w:cs="Arial" w:eastAsia="Arial" w:hAnsi="Arial"/>
          <w:b/>
          <w:bCs/>
          <w:color w:val="8B2E00"/>
          <w:sz w:val="24"/>
          <w:szCs w:val="24"/>
        </w:rPr>
        <w:t xml:space="preserve">Professional Property Manager Insurance</w:t>
      </w:r>
    </w:p>
    <w:p>
      <w:pPr>
        <w:spacing w:after="110" w:before="80"/>
      </w:pPr>
      <w:r>
        <w:rPr>
          <w:rFonts w:ascii="Arial" w:cs="Arial" w:eastAsia="Arial" w:hAnsi="Arial"/>
          <w:color w:val="1A1E28"/>
          <w:sz w:val="22"/>
          <w:szCs w:val="22"/>
        </w:rPr>
        <w:t xml:space="preserve">Professional vacation rental property managers — companies or individuals who manage short-term rental properties on behalf of multiple owners — face a significantly more complex insurance situation. They have professional liability exposure for their management decisions, operational liability for the properties they manage, and potential indemnification obligations to property owners.</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C0CCCC" w:sz="1"/>
              <w:left w:val="single" w:color="C0CCCC" w:sz="1"/>
              <w:bottom w:val="single" w:color="C0CCCC" w:sz="1"/>
              <w:right w:val="single" w:color="C0CCCC" w:sz="1"/>
            </w:tcBorders>
            <w:shd w:fill="FDF2EE" w:val="clear"/>
            <w:tcMar>
              <w:top w:type="dxa" w:w="110"/>
              <w:left w:type="dxa" w:w="160"/>
              <w:bottom w:type="dxa" w:w="110"/>
              <w:right w:type="dxa" w:w="160"/>
            </w:tcMar>
          </w:tcPr>
          <w:p>
            <w:pPr>
              <w:spacing w:after="60" w:before="0"/>
            </w:pPr>
            <w:r>
              <w:rPr>
                <w:rFonts w:ascii="Arial" w:cs="Arial" w:eastAsia="Arial" w:hAnsi="Arial"/>
                <w:b/>
                <w:bCs/>
                <w:color w:val="B84020"/>
                <w:sz w:val="19"/>
                <w:szCs w:val="19"/>
              </w:rPr>
              <w:t xml:space="preserve">Professional Liability (E&amp;O)</w:t>
            </w:r>
          </w:p>
          <w:p>
            <w:pPr>
              <w:spacing w:after="0" w:before="0"/>
            </w:pPr>
            <w:r>
              <w:rPr>
                <w:rFonts w:ascii="Arial" w:cs="Arial" w:eastAsia="Arial" w:hAnsi="Arial"/>
                <w:color w:val="363C4A"/>
                <w:sz w:val="20"/>
                <w:szCs w:val="20"/>
              </w:rPr>
              <w:t xml:space="preserve">Errors and omissions coverage for mistakes made in the management of client properties — such as booking errors, maintenance failures that lead to guest injuries, or failure to maintain adequate insurance on managed properties.</w:t>
            </w:r>
          </w:p>
        </w:tc>
        <w:tc>
          <w:tcPr>
            <w:tcW w:type="dxa" w:w="4620"/>
            <w:tcBorders>
              <w:top w:val="single" w:color="C0CCCC" w:sz="1"/>
              <w:left w:val="single" w:color="C0CCCC" w:sz="1"/>
              <w:bottom w:val="single" w:color="C0CCCC" w:sz="1"/>
              <w:right w:val="single" w:color="C0CCCC" w:sz="1"/>
            </w:tcBorders>
            <w:shd w:fill="FDF2EE" w:val="clear"/>
            <w:tcMar>
              <w:top w:type="dxa" w:w="110"/>
              <w:left w:type="dxa" w:w="160"/>
              <w:bottom w:type="dxa" w:w="110"/>
              <w:right w:type="dxa" w:w="160"/>
            </w:tcMar>
          </w:tcPr>
          <w:p>
            <w:pPr>
              <w:spacing w:after="60" w:before="0"/>
            </w:pPr>
            <w:r>
              <w:rPr>
                <w:rFonts w:ascii="Arial" w:cs="Arial" w:eastAsia="Arial" w:hAnsi="Arial"/>
                <w:b/>
                <w:bCs/>
                <w:color w:val="B84020"/>
                <w:sz w:val="19"/>
                <w:szCs w:val="19"/>
              </w:rPr>
              <w:t xml:space="preserve">General Liability</w:t>
            </w:r>
          </w:p>
          <w:p>
            <w:pPr>
              <w:spacing w:after="0" w:before="0"/>
            </w:pPr>
            <w:r>
              <w:rPr>
                <w:rFonts w:ascii="Arial" w:cs="Arial" w:eastAsia="Arial" w:hAnsi="Arial"/>
                <w:color w:val="363C4A"/>
                <w:sz w:val="20"/>
                <w:szCs w:val="20"/>
              </w:rPr>
              <w:t xml:space="preserve">Commercial general liability for the management business itself, separate from property-specific liability. Covers claims arising from management operations that are not tied to a specific managed property.</w:t>
            </w:r>
          </w:p>
        </w:tc>
      </w:tr>
      <w:tr>
        <w:tc>
          <w:tcPr>
            <w:tcW w:type="dxa" w:w="4620"/>
            <w:tcBorders>
              <w:top w:val="single" w:color="C0CCCC" w:sz="1"/>
              <w:left w:val="single" w:color="C0CCCC" w:sz="1"/>
              <w:bottom w:val="single" w:color="C0CCCC" w:sz="1"/>
              <w:right w:val="single" w:color="C0CCCC" w:sz="1"/>
            </w:tcBorders>
            <w:shd w:fill="FDF2EE" w:val="clear"/>
            <w:tcMar>
              <w:top w:type="dxa" w:w="110"/>
              <w:left w:type="dxa" w:w="160"/>
              <w:bottom w:type="dxa" w:w="110"/>
              <w:right w:type="dxa" w:w="160"/>
            </w:tcMar>
          </w:tcPr>
          <w:p>
            <w:pPr>
              <w:spacing w:after="60" w:before="0"/>
            </w:pPr>
            <w:r>
              <w:rPr>
                <w:rFonts w:ascii="Arial" w:cs="Arial" w:eastAsia="Arial" w:hAnsi="Arial"/>
                <w:b/>
                <w:bCs/>
                <w:color w:val="B84020"/>
                <w:sz w:val="19"/>
                <w:szCs w:val="19"/>
              </w:rPr>
              <w:t xml:space="preserve">Property Manager’s Interest</w:t>
            </w:r>
          </w:p>
          <w:p>
            <w:pPr>
              <w:spacing w:after="0" w:before="0"/>
            </w:pPr>
            <w:r>
              <w:rPr>
                <w:rFonts w:ascii="Arial" w:cs="Arial" w:eastAsia="Arial" w:hAnsi="Arial"/>
                <w:color w:val="363C4A"/>
                <w:sz w:val="20"/>
                <w:szCs w:val="20"/>
              </w:rPr>
              <w:t xml:space="preserve">Some property managers carry a “property manager’s interest” endorsement or blanket policy that provides contingent coverage for managed properties where the owner’s insurance has lapsed or is inadequate.</w:t>
            </w:r>
          </w:p>
        </w:tc>
        <w:tc>
          <w:tcPr>
            <w:tcW w:type="dxa" w:w="4620"/>
            <w:tcBorders>
              <w:top w:val="single" w:color="C0CCCC" w:sz="1"/>
              <w:left w:val="single" w:color="C0CCCC" w:sz="1"/>
              <w:bottom w:val="single" w:color="C0CCCC" w:sz="1"/>
              <w:right w:val="single" w:color="C0CCCC" w:sz="1"/>
            </w:tcBorders>
            <w:shd w:fill="FDF2EE" w:val="clear"/>
            <w:tcMar>
              <w:top w:type="dxa" w:w="110"/>
              <w:left w:type="dxa" w:w="160"/>
              <w:bottom w:type="dxa" w:w="110"/>
              <w:right w:type="dxa" w:w="160"/>
            </w:tcMar>
          </w:tcPr>
          <w:p>
            <w:pPr>
              <w:spacing w:after="60" w:before="0"/>
            </w:pPr>
            <w:r>
              <w:rPr>
                <w:rFonts w:ascii="Arial" w:cs="Arial" w:eastAsia="Arial" w:hAnsi="Arial"/>
                <w:b/>
                <w:bCs/>
                <w:color w:val="B84020"/>
                <w:sz w:val="19"/>
                <w:szCs w:val="19"/>
              </w:rPr>
              <w:t xml:space="preserve">Cyber Liability</w:t>
            </w:r>
          </w:p>
          <w:p>
            <w:pPr>
              <w:spacing w:after="0" w:before="0"/>
            </w:pPr>
            <w:r>
              <w:rPr>
                <w:rFonts w:ascii="Arial" w:cs="Arial" w:eastAsia="Arial" w:hAnsi="Arial"/>
                <w:color w:val="363C4A"/>
                <w:sz w:val="20"/>
                <w:szCs w:val="20"/>
              </w:rPr>
              <w:t xml:space="preserve">Property managers who handle guest data, process credit cards, and manage booking platforms face cyber liability exposure from data breaches and unauthorized access to guest information.</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A6830" w:sz="18"/>
              <w:bottom w:val="none" w:color="FFFFFF" w:sz="0"/>
              <w:right w:val="none" w:color="FFFFFF" w:sz="0"/>
            </w:tcBorders>
            <w:shd w:fill="FBF7EE" w:val="clear"/>
            <w:tcMar>
              <w:top w:type="dxa" w:w="110"/>
              <w:left w:type="dxa" w:w="200"/>
              <w:bottom w:type="dxa" w:w="110"/>
              <w:right w:type="dxa" w:w="160"/>
            </w:tcMar>
          </w:tcPr>
          <w:p>
            <w:pPr>
              <w:spacing w:after="60" w:before="0"/>
            </w:pPr>
            <w:r>
              <w:rPr>
                <w:rFonts w:ascii="Arial" w:cs="Arial" w:eastAsia="Arial" w:hAnsi="Arial"/>
                <w:b/>
                <w:bCs/>
                <w:caps/>
                <w:color w:val="6B5020"/>
                <w:sz w:val="19"/>
                <w:szCs w:val="19"/>
              </w:rPr>
              <w:t xml:space="preserve">Owner’s Insurance vs. Manager’s Insurance</w:t>
            </w:r>
          </w:p>
          <w:p>
            <w:pPr>
              <w:spacing w:after="0" w:before="0"/>
            </w:pPr>
            <w:r>
              <w:rPr>
                <w:rFonts w:ascii="Arial" w:cs="Arial" w:eastAsia="Arial" w:hAnsi="Arial"/>
                <w:color w:val="4A3010"/>
                <w:sz w:val="20"/>
                <w:szCs w:val="20"/>
              </w:rPr>
              <w:t xml:space="preserve">A professional property manager’s insurance does not replace the property owner’s vacation rental insurance. Each managed property should have its own dedicated vacation rental policy in the property owner’s name. The manager’s insurance covers the manager’s professional and operational liability — not the physical property or the owner’s liability.</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1A7070" w:sz="18"/>
              <w:bottom w:val="none" w:color="FFFFFF" w:sz="0"/>
              <w:right w:val="none" w:color="FFFFFF" w:sz="0"/>
            </w:tcBorders>
            <w:shd w:fill="EAF5F5" w:val="clear"/>
            <w:tcMar>
              <w:top w:type="dxa" w:w="110"/>
              <w:left w:type="dxa" w:w="200"/>
              <w:bottom w:type="dxa" w:w="110"/>
              <w:right w:type="dxa" w:w="160"/>
            </w:tcMar>
          </w:tcPr>
          <w:p>
            <w:pPr>
              <w:spacing w:after="0" w:before="0"/>
            </w:pPr>
            <w:r>
              <w:rPr>
                <w:rFonts w:ascii="Arial" w:cs="Arial" w:eastAsia="Arial" w:hAnsi="Arial"/>
                <w:b/>
                <w:bCs/>
                <w:color w:val="0F5858"/>
                <w:sz w:val="20"/>
                <w:szCs w:val="20"/>
              </w:rPr>
              <w:t xml:space="preserve">Key Takeaway: </w:t>
            </w:r>
            <w:r>
              <w:rPr>
                <w:rFonts w:ascii="Arial" w:cs="Arial" w:eastAsia="Arial" w:hAnsi="Arial"/>
                <w:color w:val="363C4A"/>
                <w:sz w:val="20"/>
                <w:szCs w:val="20"/>
              </w:rPr>
              <w:t xml:space="preserve">Whether you are managing one vacation rental or a portfolio of twenty, the insurance structure must match the actual ownership and management relationships. Property owners insure their assets; property managers insure their professional activities. These are separate and complementary insurance needs.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8B2E00" w:val="clear"/>
            <w:tcMar>
              <w:top w:type="dxa" w:w="160"/>
              <w:left w:type="dxa" w:w="240"/>
              <w:bottom w:type="dxa" w:w="160"/>
              <w:right w:type="dxa" w:w="240"/>
            </w:tcMar>
          </w:tcPr>
          <w:p>
            <w:pPr>
              <w:spacing w:after="0" w:before="0"/>
            </w:pPr>
            <w:r>
              <w:rPr>
                <w:rFonts w:ascii="Arial" w:cs="Arial" w:eastAsia="Arial" w:hAnsi="Arial"/>
                <w:b/>
                <w:bCs/>
                <w:color w:val="ECC0A8"/>
                <w:sz w:val="28"/>
                <w:szCs w:val="28"/>
              </w:rPr>
              <w:t xml:space="preserve">8.  </w:t>
            </w:r>
            <w:r>
              <w:rPr>
                <w:rFonts w:ascii="Arial" w:cs="Arial" w:eastAsia="Arial" w:hAnsi="Arial"/>
                <w:b/>
                <w:bCs/>
                <w:color w:val="FFFFFF"/>
                <w:sz w:val="28"/>
                <w:szCs w:val="28"/>
              </w:rPr>
              <w:t xml:space="preserve">Difference Between Host Protection and Standalone Policy</w:t>
            </w:r>
          </w:p>
        </w:tc>
      </w:tr>
    </w:tbl>
    <w:p>
      <w:pPr>
        <w:spacing w:after="0" w:before="100"/>
      </w:pPr>
      <w:r>
        <w:rPr>
          <w:rFonts w:ascii="Arial" w:cs="Arial" w:eastAsia="Arial" w:hAnsi="Arial"/>
        </w:rPr>
        <w:t xml:space="preserve"/>
      </w:r>
    </w:p>
    <w:p>
      <w:pPr>
        <w:spacing w:after="110" w:before="80"/>
      </w:pPr>
      <w:r>
        <w:rPr>
          <w:rFonts w:ascii="Arial" w:cs="Arial" w:eastAsia="Arial" w:hAnsi="Arial"/>
          <w:color w:val="1A1E28"/>
          <w:sz w:val="22"/>
          <w:szCs w:val="22"/>
        </w:rPr>
        <w:t xml:space="preserve">The vacation rental insurance market offers two fundamentally different structural approaches to coverage: host protection programs embedded within rental platforms or provided as add-ons, and standalone vacation rental insurance policies purchased independently from licensed insurance carriers. Understanding the difference — and the limitations of platform-based protections — is critical to making an informed coverage decision.</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C0CCCC" w:sz="1"/>
              <w:left w:val="single" w:color="C0CCCC" w:sz="1"/>
              <w:bottom w:val="single" w:color="C0CCCC" w:sz="1"/>
              <w:right w:val="single" w:color="C0CCCC" w:sz="1"/>
            </w:tcBorders>
            <w:shd w:fill="FDF2EE" w:val="clear"/>
            <w:tcMar>
              <w:top w:type="dxa" w:w="110"/>
              <w:left w:type="dxa" w:w="160"/>
              <w:bottom w:type="dxa" w:w="110"/>
              <w:right w:type="dxa" w:w="160"/>
            </w:tcMar>
          </w:tcPr>
          <w:p>
            <w:pPr>
              <w:spacing w:after="60" w:before="0"/>
            </w:pPr>
            <w:r>
              <w:rPr>
                <w:rFonts w:ascii="Arial" w:cs="Arial" w:eastAsia="Arial" w:hAnsi="Arial"/>
                <w:b/>
                <w:bCs/>
                <w:color w:val="B84020"/>
                <w:sz w:val="19"/>
                <w:szCs w:val="19"/>
              </w:rPr>
              <w:t xml:space="preserve">Host Protection / Platform Coverage</w:t>
            </w:r>
          </w:p>
          <w:p>
            <w:pPr>
              <w:spacing w:after="0" w:before="0"/>
            </w:pPr>
            <w:r>
              <w:rPr>
                <w:rFonts w:ascii="Arial" w:cs="Arial" w:eastAsia="Arial" w:hAnsi="Arial"/>
                <w:color w:val="363C4A"/>
                <w:sz w:val="20"/>
                <w:szCs w:val="20"/>
              </w:rPr>
              <w:t xml:space="preserve">Coverage provided by or through a rental platform (such as Airbnb’s AirCover or VRBO’s host guarantee) as part of the platform relationship. These are not traditional insurance policies — they are contractual protections provided by the platform company with significant limitations, exclusions, and a claims process controlled entirely by the platform.</w:t>
            </w:r>
          </w:p>
        </w:tc>
        <w:tc>
          <w:tcPr>
            <w:tcW w:type="dxa" w:w="4620"/>
            <w:tcBorders>
              <w:top w:val="single" w:color="C0CCCC" w:sz="1"/>
              <w:left w:val="single" w:color="C0CCCC" w:sz="1"/>
              <w:bottom w:val="single" w:color="C0CCCC" w:sz="1"/>
              <w:right w:val="single" w:color="C0CCCC" w:sz="1"/>
            </w:tcBorders>
            <w:shd w:fill="FDF2EE" w:val="clear"/>
            <w:tcMar>
              <w:top w:type="dxa" w:w="110"/>
              <w:left w:type="dxa" w:w="160"/>
              <w:bottom w:type="dxa" w:w="110"/>
              <w:right w:type="dxa" w:w="160"/>
            </w:tcMar>
          </w:tcPr>
          <w:p>
            <w:pPr>
              <w:spacing w:after="60" w:before="0"/>
            </w:pPr>
            <w:r>
              <w:rPr>
                <w:rFonts w:ascii="Arial" w:cs="Arial" w:eastAsia="Arial" w:hAnsi="Arial"/>
                <w:b/>
                <w:bCs/>
                <w:color w:val="B84020"/>
                <w:sz w:val="19"/>
                <w:szCs w:val="19"/>
              </w:rPr>
              <w:t xml:space="preserve">Standalone Vacation Rental Policy</w:t>
            </w:r>
          </w:p>
          <w:p>
            <w:pPr>
              <w:spacing w:after="0" w:before="0"/>
            </w:pPr>
            <w:r>
              <w:rPr>
                <w:rFonts w:ascii="Arial" w:cs="Arial" w:eastAsia="Arial" w:hAnsi="Arial"/>
                <w:color w:val="363C4A"/>
                <w:sz w:val="20"/>
                <w:szCs w:val="20"/>
              </w:rPr>
              <w:t xml:space="preserve">A traditional insurance policy issued by a licensed insurance carrier, underwritten based on the specific property and risk profile, with coverage terms defined by the policy form and subject to state insurance regulation. Claims are handled by the insurer, not a platform company.</w:t>
            </w:r>
          </w:p>
        </w:tc>
      </w:tr>
      <w:tr>
        <w:tc>
          <w:tcPr>
            <w:tcW w:type="dxa" w:w="4620"/>
            <w:tcBorders>
              <w:top w:val="single" w:color="C0CCCC" w:sz="1"/>
              <w:left w:val="single" w:color="C0CCCC" w:sz="1"/>
              <w:bottom w:val="single" w:color="C0CCCC" w:sz="1"/>
              <w:right w:val="single" w:color="C0CCCC" w:sz="1"/>
            </w:tcBorders>
            <w:shd w:fill="FDF2EE" w:val="clear"/>
            <w:tcMar>
              <w:top w:type="dxa" w:w="110"/>
              <w:left w:type="dxa" w:w="160"/>
              <w:bottom w:type="dxa" w:w="110"/>
              <w:right w:type="dxa" w:w="160"/>
            </w:tcMar>
          </w:tcPr>
          <w:p>
            <w:pPr>
              <w:spacing w:after="60" w:before="0"/>
            </w:pPr>
            <w:r>
              <w:rPr>
                <w:rFonts w:ascii="Arial" w:cs="Arial" w:eastAsia="Arial" w:hAnsi="Arial"/>
                <w:b/>
                <w:bCs/>
                <w:color w:val="B84020"/>
                <w:sz w:val="19"/>
                <w:szCs w:val="19"/>
              </w:rPr>
              <w:t xml:space="preserve">Key Structural Difference</w:t>
            </w:r>
          </w:p>
          <w:p>
            <w:pPr>
              <w:spacing w:after="0" w:before="0"/>
            </w:pPr>
            <w:r>
              <w:rPr>
                <w:rFonts w:ascii="Arial" w:cs="Arial" w:eastAsia="Arial" w:hAnsi="Arial"/>
                <w:color w:val="363C4A"/>
                <w:sz w:val="20"/>
                <w:szCs w:val="20"/>
              </w:rPr>
              <w:t xml:space="preserve">Platform protections are contractual obligations of the platform company — not insurance contracts regulated by state insurance law. They do not come with a certificate of insurance, do not satisfy lender insurance requirements, and can be modified or discontinued by the platform at any time without regulatory oversight.</w:t>
            </w:r>
          </w:p>
        </w:tc>
        <w:tc>
          <w:tcPr>
            <w:tcW w:type="dxa" w:w="4620"/>
            <w:tcBorders>
              <w:top w:val="single" w:color="C0CCCC" w:sz="1"/>
              <w:left w:val="single" w:color="C0CCCC" w:sz="1"/>
              <w:bottom w:val="single" w:color="C0CCCC" w:sz="1"/>
              <w:right w:val="single" w:color="C0CCCC" w:sz="1"/>
            </w:tcBorders>
            <w:shd w:fill="FDF2EE" w:val="clear"/>
            <w:tcMar>
              <w:top w:type="dxa" w:w="110"/>
              <w:left w:type="dxa" w:w="160"/>
              <w:bottom w:type="dxa" w:w="110"/>
              <w:right w:type="dxa" w:w="160"/>
            </w:tcMar>
          </w:tcPr>
          <w:p>
            <w:pPr>
              <w:spacing w:after="60" w:before="0"/>
            </w:pPr>
            <w:r>
              <w:rPr>
                <w:rFonts w:ascii="Arial" w:cs="Arial" w:eastAsia="Arial" w:hAnsi="Arial"/>
                <w:b/>
                <w:bCs/>
                <w:color w:val="B84020"/>
                <w:sz w:val="19"/>
                <w:szCs w:val="19"/>
              </w:rPr>
              <w:t xml:space="preserve">Which Is Better</w:t>
            </w:r>
          </w:p>
          <w:p>
            <w:pPr>
              <w:spacing w:after="0" w:before="0"/>
            </w:pPr>
            <w:r>
              <w:rPr>
                <w:rFonts w:ascii="Arial" w:cs="Arial" w:eastAsia="Arial" w:hAnsi="Arial"/>
                <w:color w:val="363C4A"/>
                <w:sz w:val="20"/>
                <w:szCs w:val="20"/>
              </w:rPr>
              <w:t xml:space="preserve">A standalone vacation rental insurance policy from a licensed carrier is always the superior choice. It provides more comprehensive coverage, is subject to state insurance regulation, satisfies lender requirements, and gives the host an independent claims process not controlled by the platform with which disputes may arise.</w:t>
            </w:r>
          </w:p>
        </w:tc>
      </w:tr>
    </w:tbl>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900"/>
        <w:gridCol w:w="3130"/>
        <w:gridCol w:w="3330"/>
      </w:tblGrid>
      <w:tr>
        <w:tc>
          <w:tcPr>
            <w:tcW w:type="dxa" w:w="2900"/>
            <w:tcBorders>
              <w:top w:val="none" w:color="FFFFFF" w:sz="0"/>
              <w:left w:val="none" w:color="FFFFFF" w:sz="0"/>
              <w:bottom w:val="none" w:color="FFFFFF" w:sz="0"/>
              <w:right w:val="none" w:color="FFFFFF" w:sz="0"/>
            </w:tcBorders>
            <w:shd w:fill="2A384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Factor</w:t>
            </w:r>
          </w:p>
        </w:tc>
        <w:tc>
          <w:tcPr>
            <w:tcW w:type="dxa" w:w="3130"/>
            <w:tcBorders>
              <w:top w:val="none" w:color="FFFFFF" w:sz="0"/>
              <w:left w:val="none" w:color="FFFFFF" w:sz="0"/>
              <w:bottom w:val="none" w:color="FFFFFF" w:sz="0"/>
              <w:right w:val="none" w:color="FFFFFF" w:sz="0"/>
            </w:tcBorders>
            <w:shd w:fill="B8402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Platform Host Protection</w:t>
            </w:r>
          </w:p>
        </w:tc>
        <w:tc>
          <w:tcPr>
            <w:tcW w:type="dxa" w:w="3330"/>
            <w:tcBorders>
              <w:top w:val="none" w:color="FFFFFF" w:sz="0"/>
              <w:left w:val="none" w:color="FFFFFF" w:sz="0"/>
              <w:bottom w:val="none" w:color="FFFFFF" w:sz="0"/>
              <w:right w:val="none" w:color="FFFFFF" w:sz="0"/>
            </w:tcBorders>
            <w:shd w:fill="B8402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Standalone Policy</w:t>
            </w:r>
          </w:p>
        </w:tc>
      </w:tr>
      <w:tr>
        <w:tc>
          <w:tcPr>
            <w:tcW w:type="dxa" w:w="290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Legal nature</w:t>
            </w:r>
          </w:p>
        </w:tc>
        <w:tc>
          <w:tcPr>
            <w:tcW w:type="dxa" w:w="31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Contractual platform benefit</w:t>
            </w:r>
          </w:p>
        </w:tc>
        <w:tc>
          <w:tcPr>
            <w:tcW w:type="dxa" w:w="33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Regulated insurance contract</w:t>
            </w:r>
          </w:p>
        </w:tc>
      </w:tr>
      <w:tr>
        <w:tc>
          <w:tcPr>
            <w:tcW w:type="dxa" w:w="290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Claims process</w:t>
            </w:r>
          </w:p>
        </w:tc>
        <w:tc>
          <w:tcPr>
            <w:tcW w:type="dxa" w:w="31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Platform-controlled; platform is adjudicator</w:t>
            </w:r>
          </w:p>
        </w:tc>
        <w:tc>
          <w:tcPr>
            <w:tcW w:type="dxa" w:w="33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Independent carrier; state-regulated</w:t>
            </w:r>
          </w:p>
        </w:tc>
      </w:tr>
      <w:tr>
        <w:tc>
          <w:tcPr>
            <w:tcW w:type="dxa" w:w="290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Coverage limits</w:t>
            </w:r>
          </w:p>
        </w:tc>
        <w:tc>
          <w:tcPr>
            <w:tcW w:type="dxa" w:w="31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Fixed by platform; often $1M property cap</w:t>
            </w:r>
          </w:p>
        </w:tc>
        <w:tc>
          <w:tcPr>
            <w:tcW w:type="dxa" w:w="33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Customizable to property value</w:t>
            </w:r>
          </w:p>
        </w:tc>
      </w:tr>
      <w:tr>
        <w:tc>
          <w:tcPr>
            <w:tcW w:type="dxa" w:w="290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Liability coverage</w:t>
            </w:r>
          </w:p>
        </w:tc>
        <w:tc>
          <w:tcPr>
            <w:tcW w:type="dxa" w:w="31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May be included; terms vary</w:t>
            </w:r>
          </w:p>
        </w:tc>
        <w:tc>
          <w:tcPr>
            <w:tcW w:type="dxa" w:w="33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Commercial liability to $1M–2M+</w:t>
            </w:r>
          </w:p>
        </w:tc>
      </w:tr>
      <w:tr>
        <w:tc>
          <w:tcPr>
            <w:tcW w:type="dxa" w:w="290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Loss of rental income</w:t>
            </w:r>
          </w:p>
        </w:tc>
        <w:tc>
          <w:tcPr>
            <w:tcW w:type="dxa" w:w="31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Generally not covered</w:t>
            </w:r>
          </w:p>
        </w:tc>
        <w:tc>
          <w:tcPr>
            <w:tcW w:type="dxa" w:w="33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Covered as business income</w:t>
            </w:r>
          </w:p>
        </w:tc>
      </w:tr>
      <w:tr>
        <w:tc>
          <w:tcPr>
            <w:tcW w:type="dxa" w:w="290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Guest theft of property</w:t>
            </w:r>
          </w:p>
        </w:tc>
        <w:tc>
          <w:tcPr>
            <w:tcW w:type="dxa" w:w="31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Limited; exclusions apply</w:t>
            </w:r>
          </w:p>
        </w:tc>
        <w:tc>
          <w:tcPr>
            <w:tcW w:type="dxa" w:w="33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Covered in better VR policies</w:t>
            </w:r>
          </w:p>
        </w:tc>
      </w:tr>
      <w:tr>
        <w:tc>
          <w:tcPr>
            <w:tcW w:type="dxa" w:w="290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Lender satisfaction</w:t>
            </w:r>
          </w:p>
        </w:tc>
        <w:tc>
          <w:tcPr>
            <w:tcW w:type="dxa" w:w="31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Does not satisfy lender requirements</w:t>
            </w:r>
          </w:p>
        </w:tc>
        <w:tc>
          <w:tcPr>
            <w:tcW w:type="dxa" w:w="33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Satisfies lender insurance requirements</w:t>
            </w:r>
          </w:p>
        </w:tc>
      </w:tr>
      <w:tr>
        <w:tc>
          <w:tcPr>
            <w:tcW w:type="dxa" w:w="290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Independent claims</w:t>
            </w:r>
          </w:p>
        </w:tc>
        <w:tc>
          <w:tcPr>
            <w:tcW w:type="dxa" w:w="31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No — platform decides</w:t>
            </w:r>
          </w:p>
        </w:tc>
        <w:tc>
          <w:tcPr>
            <w:tcW w:type="dxa" w:w="33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Yes — independent process</w:t>
            </w:r>
          </w:p>
        </w:tc>
      </w:tr>
      <w:tr>
        <w:tc>
          <w:tcPr>
            <w:tcW w:type="dxa" w:w="290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Regulatory protection</w:t>
            </w:r>
          </w:p>
        </w:tc>
        <w:tc>
          <w:tcPr>
            <w:tcW w:type="dxa" w:w="31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No state insurance oversight</w:t>
            </w:r>
          </w:p>
        </w:tc>
        <w:tc>
          <w:tcPr>
            <w:tcW w:type="dxa" w:w="3330"/>
            <w:tcBorders>
              <w:top w:val="single" w:color="C0CCCC" w:sz="1"/>
              <w:left w:val="single" w:color="C0CCCC" w:sz="1"/>
              <w:bottom w:val="single" w:color="C0CCCC" w:sz="1"/>
              <w:right w:val="single" w:color="C0CC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Full state insurance regulation</w:t>
            </w:r>
          </w:p>
        </w:tc>
      </w:tr>
      <w:tr>
        <w:tc>
          <w:tcPr>
            <w:tcW w:type="dxa" w:w="290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bCs/>
                <w:color w:val="1A1E28"/>
                <w:sz w:val="20"/>
                <w:szCs w:val="20"/>
              </w:rPr>
              <w:t xml:space="preserve">Policy continuity</w:t>
            </w:r>
          </w:p>
        </w:tc>
        <w:tc>
          <w:tcPr>
            <w:tcW w:type="dxa" w:w="31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Platform can modify or end at any time</w:t>
            </w:r>
          </w:p>
        </w:tc>
        <w:tc>
          <w:tcPr>
            <w:tcW w:type="dxa" w:w="3330"/>
            <w:tcBorders>
              <w:top w:val="single" w:color="C0CCCC" w:sz="1"/>
              <w:left w:val="single" w:color="C0CCCC" w:sz="1"/>
              <w:bottom w:val="single" w:color="C0CCCC" w:sz="1"/>
              <w:right w:val="single" w:color="C0CCCC" w:sz="1"/>
            </w:tcBorders>
            <w:shd w:fill="FDF2EE" w:val="clear"/>
            <w:tcMar>
              <w:top w:type="dxa" w:w="80"/>
              <w:left w:type="dxa" w:w="160"/>
              <w:bottom w:type="dxa" w:w="80"/>
              <w:right w:type="dxa" w:w="160"/>
            </w:tcMar>
          </w:tcPr>
          <w:p>
            <w:pPr>
              <w:spacing w:after="0" w:before="0"/>
            </w:pPr>
            <w:r>
              <w:rPr>
                <w:rFonts w:ascii="Arial" w:cs="Arial" w:eastAsia="Arial" w:hAnsi="Arial"/>
                <w:b w:val="false"/>
                <w:bCs w:val="false"/>
                <w:color w:val="363C4A"/>
                <w:sz w:val="20"/>
                <w:szCs w:val="20"/>
              </w:rPr>
              <w:t xml:space="preserve">Policy terms locked for policy period</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1A7070" w:sz="18"/>
              <w:bottom w:val="none" w:color="FFFFFF" w:sz="0"/>
              <w:right w:val="none" w:color="FFFFFF" w:sz="0"/>
            </w:tcBorders>
            <w:shd w:fill="EAF5F5" w:val="clear"/>
            <w:tcMar>
              <w:top w:type="dxa" w:w="110"/>
              <w:left w:type="dxa" w:w="200"/>
              <w:bottom w:type="dxa" w:w="110"/>
              <w:right w:type="dxa" w:w="160"/>
            </w:tcMar>
          </w:tcPr>
          <w:p>
            <w:pPr>
              <w:spacing w:after="0" w:before="0"/>
            </w:pPr>
            <w:r>
              <w:rPr>
                <w:rFonts w:ascii="Arial" w:cs="Arial" w:eastAsia="Arial" w:hAnsi="Arial"/>
                <w:b/>
                <w:bCs/>
                <w:color w:val="0F5858"/>
                <w:sz w:val="20"/>
                <w:szCs w:val="20"/>
              </w:rPr>
              <w:t xml:space="preserve">Key Takeaway: </w:t>
            </w:r>
            <w:r>
              <w:rPr>
                <w:rFonts w:ascii="Arial" w:cs="Arial" w:eastAsia="Arial" w:hAnsi="Arial"/>
                <w:color w:val="363C4A"/>
                <w:sz w:val="20"/>
                <w:szCs w:val="20"/>
              </w:rPr>
              <w:t xml:space="preserve">Platform host protections are a supplement to proper insurance — never a substitute. Use them for what they are: a first-line claim resolution tool for minor guest-related issues. For real financial protection against major losses, liability claims, and income interruption, a standalone vacation rental insurance policy from a licensed carrier is essential.</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8B2E00" w:val="clear"/>
            <w:tcMar>
              <w:top w:type="dxa" w:w="160"/>
              <w:left w:type="dxa" w:w="240"/>
              <w:bottom w:type="dxa" w:w="160"/>
              <w:right w:type="dxa" w:w="240"/>
            </w:tcMar>
          </w:tcPr>
          <w:p>
            <w:pPr>
              <w:spacing w:after="0" w:before="0"/>
            </w:pPr>
            <w:r>
              <w:rPr>
                <w:rFonts w:ascii="Arial" w:cs="Arial" w:eastAsia="Arial" w:hAnsi="Arial"/>
                <w:b/>
                <w:bCs/>
                <w:color w:val="ECC0A8"/>
                <w:sz w:val="28"/>
                <w:szCs w:val="28"/>
              </w:rPr>
              <w:t xml:space="preserve">9.  </w:t>
            </w:r>
            <w:r>
              <w:rPr>
                <w:rFonts w:ascii="Arial" w:cs="Arial" w:eastAsia="Arial" w:hAnsi="Arial"/>
                <w:b/>
                <w:bCs/>
                <w:color w:val="FFFFFF"/>
                <w:sz w:val="28"/>
                <w:szCs w:val="28"/>
              </w:rPr>
              <w:t xml:space="preserve">Platform-Provided Coverage (Airbnb AirCover, VRBO) Limitations</w:t>
            </w:r>
          </w:p>
        </w:tc>
      </w:tr>
    </w:tbl>
    <w:p>
      <w:pPr>
        <w:spacing w:after="0" w:before="100"/>
      </w:pPr>
      <w:r>
        <w:rPr>
          <w:rFonts w:ascii="Arial" w:cs="Arial" w:eastAsia="Arial" w:hAnsi="Arial"/>
        </w:rPr>
        <w:t xml:space="preserve"/>
      </w:r>
    </w:p>
    <w:p>
      <w:pPr>
        <w:spacing w:after="110" w:before="80"/>
      </w:pPr>
      <w:r>
        <w:rPr>
          <w:rFonts w:ascii="Arial" w:cs="Arial" w:eastAsia="Arial" w:hAnsi="Arial"/>
          <w:color w:val="1A1E28"/>
          <w:sz w:val="22"/>
          <w:szCs w:val="22"/>
        </w:rPr>
        <w:t xml:space="preserve">Airbnb’s AirCover for Hosts and VRBO’s host guarantee programs are frequently cited by both platforms as protection for hosts who suffer property damage or liability claims from guests. While these programs provide some value, their limitations are extensive and often not clearly disclosed to hosts who rely on them as their primary protection.</w:t>
      </w:r>
    </w:p>
    <w:p>
      <w:pPr>
        <w:spacing w:after="0" w:before="100"/>
      </w:pPr>
      <w:r>
        <w:rPr>
          <w:rFonts w:ascii="Arial" w:cs="Arial" w:eastAsia="Arial" w:hAnsi="Arial"/>
        </w:rPr>
        <w:t xml:space="preserve"/>
      </w:r>
    </w:p>
    <w:p>
      <w:pPr>
        <w:pBdr>
          <w:bottom w:val="single" w:color="ECC0A8" w:sz="4" w:space="4"/>
        </w:pBdr>
        <w:spacing w:after="80" w:before="220"/>
      </w:pPr>
      <w:r>
        <w:rPr>
          <w:rFonts w:ascii="Arial" w:cs="Arial" w:eastAsia="Arial" w:hAnsi="Arial"/>
          <w:b/>
          <w:bCs/>
          <w:color w:val="8B2E00"/>
          <w:sz w:val="24"/>
          <w:szCs w:val="24"/>
        </w:rPr>
        <w:t xml:space="preserve">Airbnb AirCover for Hosts — Key Limitations</w:t>
      </w:r>
    </w:p>
    <w:p>
      <w:pPr>
        <w:spacing w:after="110" w:before="80"/>
      </w:pPr>
      <w:r>
        <w:rPr>
          <w:rFonts w:ascii="Arial" w:cs="Arial" w:eastAsia="Arial" w:hAnsi="Arial"/>
          <w:color w:val="1A1E28"/>
          <w:sz w:val="22"/>
          <w:szCs w:val="22"/>
        </w:rPr>
        <w:t xml:space="preserve">Airbnb’s AirCover program provides host damage protection (up to $3 million for property damage) and host liability insurance (up to $1 million). While these numbers appear substantial, the practical limitations significantly reduce their real-world value:</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B84020"/>
          <w:sz w:val="22"/>
          <w:szCs w:val="22"/>
        </w:rPr>
        <w:t xml:space="preserve">Airbnb controls the claims process — </w:t>
      </w:r>
      <w:r>
        <w:rPr>
          <w:rFonts w:ascii="Arial" w:cs="Arial" w:eastAsia="Arial" w:hAnsi="Arial"/>
          <w:color w:val="363C4A"/>
          <w:sz w:val="22"/>
          <w:szCs w:val="22"/>
        </w:rPr>
        <w:t xml:space="preserve">Airbnb determines whether a claim is valid, how much damage occurred, and what amount will be paid. Hosts who disagree with Airbnb’s determination have limited recourse and cannot appeal to a state insurance regulator because AirCover is not a regulated insurance product</w:t>
      </w:r>
    </w:p>
    <w:p>
      <w:pPr>
        <w:pStyle w:val="ListParagraph"/>
        <w:numPr>
          <w:ilvl w:val="0"/>
          <w:numId w:val="2"/>
        </w:numPr>
        <w:spacing w:after="60" w:before="60"/>
      </w:pPr>
      <w:r>
        <w:rPr>
          <w:rFonts w:ascii="Arial" w:cs="Arial" w:eastAsia="Arial" w:hAnsi="Arial"/>
          <w:b/>
          <w:bCs/>
          <w:color w:val="B84020"/>
          <w:sz w:val="22"/>
          <w:szCs w:val="22"/>
        </w:rPr>
        <w:t xml:space="preserve">Pre-existing conditions exclusion — </w:t>
      </w:r>
      <w:r>
        <w:rPr>
          <w:rFonts w:ascii="Arial" w:cs="Arial" w:eastAsia="Arial" w:hAnsi="Arial"/>
          <w:color w:val="363C4A"/>
          <w:sz w:val="22"/>
          <w:szCs w:val="22"/>
        </w:rPr>
        <w:t xml:space="preserve">damage that Airbnb determines was pre-existing is excluded; documenting every condition before and after each stay is essential but burdensome</w:t>
      </w:r>
    </w:p>
    <w:p>
      <w:pPr>
        <w:pStyle w:val="ListParagraph"/>
        <w:numPr>
          <w:ilvl w:val="0"/>
          <w:numId w:val="2"/>
        </w:numPr>
        <w:spacing w:after="60" w:before="60"/>
      </w:pPr>
      <w:r>
        <w:rPr>
          <w:rFonts w:ascii="Arial" w:cs="Arial" w:eastAsia="Arial" w:hAnsi="Arial"/>
          <w:b/>
          <w:bCs/>
          <w:color w:val="B84020"/>
          <w:sz w:val="22"/>
          <w:szCs w:val="22"/>
        </w:rPr>
        <w:t xml:space="preserve">Shared or disputed damage — </w:t>
      </w:r>
      <w:r>
        <w:rPr>
          <w:rFonts w:ascii="Arial" w:cs="Arial" w:eastAsia="Arial" w:hAnsi="Arial"/>
          <w:color w:val="363C4A"/>
          <w:sz w:val="22"/>
          <w:szCs w:val="22"/>
        </w:rPr>
        <w:t xml:space="preserve">when damage occurred is disputed between a departing and arriving guest, Airbnb may decline to pay while the dispute is resolved</w:t>
      </w:r>
    </w:p>
    <w:p>
      <w:pPr>
        <w:pStyle w:val="ListParagraph"/>
        <w:numPr>
          <w:ilvl w:val="0"/>
          <w:numId w:val="2"/>
        </w:numPr>
        <w:spacing w:after="60" w:before="60"/>
      </w:pPr>
      <w:r>
        <w:rPr>
          <w:rFonts w:ascii="Arial" w:cs="Arial" w:eastAsia="Arial" w:hAnsi="Arial"/>
          <w:b/>
          <w:bCs/>
          <w:color w:val="B84020"/>
          <w:sz w:val="22"/>
          <w:szCs w:val="22"/>
        </w:rPr>
        <w:t xml:space="preserve">Cash and securities excluded — </w:t>
      </w:r>
      <w:r>
        <w:rPr>
          <w:rFonts w:ascii="Arial" w:cs="Arial" w:eastAsia="Arial" w:hAnsi="Arial"/>
          <w:color w:val="363C4A"/>
          <w:sz w:val="22"/>
          <w:szCs w:val="22"/>
        </w:rPr>
        <w:t xml:space="preserve">losses involving cash, cryptocurrency, or securities stored at the property are not covered</w:t>
      </w:r>
    </w:p>
    <w:p>
      <w:pPr>
        <w:pStyle w:val="ListParagraph"/>
        <w:numPr>
          <w:ilvl w:val="0"/>
          <w:numId w:val="2"/>
        </w:numPr>
        <w:spacing w:after="60" w:before="60"/>
      </w:pPr>
      <w:r>
        <w:rPr>
          <w:rFonts w:ascii="Arial" w:cs="Arial" w:eastAsia="Arial" w:hAnsi="Arial"/>
          <w:b/>
          <w:bCs/>
          <w:color w:val="B84020"/>
          <w:sz w:val="22"/>
          <w:szCs w:val="22"/>
        </w:rPr>
        <w:t xml:space="preserve">Motor vehicles excluded — </w:t>
      </w:r>
      <w:r>
        <w:rPr>
          <w:rFonts w:ascii="Arial" w:cs="Arial" w:eastAsia="Arial" w:hAnsi="Arial"/>
          <w:color w:val="363C4A"/>
          <w:sz w:val="22"/>
          <w:szCs w:val="22"/>
        </w:rPr>
        <w:t xml:space="preserve">damage to the host’s vehicles is not covered</w:t>
      </w:r>
    </w:p>
    <w:p>
      <w:pPr>
        <w:pStyle w:val="ListParagraph"/>
        <w:numPr>
          <w:ilvl w:val="0"/>
          <w:numId w:val="2"/>
        </w:numPr>
        <w:spacing w:after="60" w:before="60"/>
      </w:pPr>
      <w:r>
        <w:rPr>
          <w:rFonts w:ascii="Arial" w:cs="Arial" w:eastAsia="Arial" w:hAnsi="Arial"/>
          <w:b/>
          <w:bCs/>
          <w:color w:val="B84020"/>
          <w:sz w:val="22"/>
          <w:szCs w:val="22"/>
        </w:rPr>
        <w:t xml:space="preserve">Common area damage — </w:t>
      </w:r>
      <w:r>
        <w:rPr>
          <w:rFonts w:ascii="Arial" w:cs="Arial" w:eastAsia="Arial" w:hAnsi="Arial"/>
          <w:color w:val="363C4A"/>
          <w:sz w:val="22"/>
          <w:szCs w:val="22"/>
        </w:rPr>
        <w:t xml:space="preserve">in multi-unit buildings, damage to common areas caused by Airbnb guests may not be covered</w:t>
      </w:r>
    </w:p>
    <w:p>
      <w:pPr>
        <w:pStyle w:val="ListParagraph"/>
        <w:numPr>
          <w:ilvl w:val="0"/>
          <w:numId w:val="2"/>
        </w:numPr>
        <w:spacing w:after="60" w:before="60"/>
      </w:pPr>
      <w:r>
        <w:rPr>
          <w:rFonts w:ascii="Arial" w:cs="Arial" w:eastAsia="Arial" w:hAnsi="Arial"/>
          <w:b/>
          <w:bCs/>
          <w:color w:val="B84020"/>
          <w:sz w:val="22"/>
          <w:szCs w:val="22"/>
        </w:rPr>
        <w:t xml:space="preserve">Natural disaster damage — </w:t>
      </w:r>
      <w:r>
        <w:rPr>
          <w:rFonts w:ascii="Arial" w:cs="Arial" w:eastAsia="Arial" w:hAnsi="Arial"/>
          <w:color w:val="363C4A"/>
          <w:sz w:val="22"/>
          <w:szCs w:val="22"/>
        </w:rPr>
        <w:t xml:space="preserve">damage from natural disasters (hurricane, earthquake, flood) is excluded; these require separate insurance products</w:t>
      </w:r>
    </w:p>
    <w:p>
      <w:pPr>
        <w:spacing w:after="0" w:before="100"/>
      </w:pPr>
      <w:r>
        <w:rPr>
          <w:rFonts w:ascii="Arial" w:cs="Arial" w:eastAsia="Arial" w:hAnsi="Arial"/>
        </w:rPr>
        <w:t xml:space="preserve"/>
      </w:r>
    </w:p>
    <w:p>
      <w:pPr>
        <w:pBdr>
          <w:bottom w:val="single" w:color="ECC0A8" w:sz="4" w:space="4"/>
        </w:pBdr>
        <w:spacing w:after="80" w:before="220"/>
      </w:pPr>
      <w:r>
        <w:rPr>
          <w:rFonts w:ascii="Arial" w:cs="Arial" w:eastAsia="Arial" w:hAnsi="Arial"/>
          <w:b/>
          <w:bCs/>
          <w:color w:val="8B2E00"/>
          <w:sz w:val="24"/>
          <w:szCs w:val="24"/>
        </w:rPr>
        <w:t xml:space="preserve">VRBO Host Guarantee — Key Limitations</w:t>
      </w:r>
    </w:p>
    <w:p>
      <w:pPr>
        <w:spacing w:after="110" w:before="80"/>
      </w:pPr>
      <w:r>
        <w:rPr>
          <w:rFonts w:ascii="Arial" w:cs="Arial" w:eastAsia="Arial" w:hAnsi="Arial"/>
          <w:color w:val="1A1E28"/>
          <w:sz w:val="22"/>
          <w:szCs w:val="22"/>
        </w:rPr>
        <w:t xml:space="preserve">VRBO’s host guarantee program provides damage protection up to $1 million and liability protection up to $1 million for stays booked through the platform. Similar to AirCover, the program has significant practical limitations: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B84020"/>
          <w:sz w:val="22"/>
          <w:szCs w:val="22"/>
        </w:rPr>
        <w:t xml:space="preserve">Coverage limited to VRBO-booked stays — </w:t>
      </w:r>
      <w:r>
        <w:rPr>
          <w:rFonts w:ascii="Arial" w:cs="Arial" w:eastAsia="Arial" w:hAnsi="Arial"/>
          <w:color w:val="363C4A"/>
          <w:sz w:val="22"/>
          <w:szCs w:val="22"/>
        </w:rPr>
        <w:t xml:space="preserve">damage or liability from stays booked outside VRBO — direct bookings, other platforms — is not covered; hosts who use multiple booking channels are exposed for non-VRBO stays</w:t>
      </w:r>
    </w:p>
    <w:p>
      <w:pPr>
        <w:pStyle w:val="ListParagraph"/>
        <w:numPr>
          <w:ilvl w:val="0"/>
          <w:numId w:val="2"/>
        </w:numPr>
        <w:spacing w:after="60" w:before="60"/>
      </w:pPr>
      <w:r>
        <w:rPr>
          <w:rFonts w:ascii="Arial" w:cs="Arial" w:eastAsia="Arial" w:hAnsi="Arial"/>
          <w:b/>
          <w:bCs/>
          <w:color w:val="B84020"/>
          <w:sz w:val="22"/>
          <w:szCs w:val="22"/>
        </w:rPr>
        <w:t xml:space="preserve">Platform-controlled claims resolution — </w:t>
      </w:r>
      <w:r>
        <w:rPr>
          <w:rFonts w:ascii="Arial" w:cs="Arial" w:eastAsia="Arial" w:hAnsi="Arial"/>
          <w:color w:val="363C4A"/>
          <w:sz w:val="22"/>
          <w:szCs w:val="22"/>
        </w:rPr>
        <w:t xml:space="preserve">VRBO controls the claims determination process; its role as both the marketplace and the claim resolver creates a conflict of interest in disputed claims</w:t>
      </w:r>
    </w:p>
    <w:p>
      <w:pPr>
        <w:pStyle w:val="ListParagraph"/>
        <w:numPr>
          <w:ilvl w:val="0"/>
          <w:numId w:val="2"/>
        </w:numPr>
        <w:spacing w:after="60" w:before="60"/>
      </w:pPr>
      <w:r>
        <w:rPr>
          <w:rFonts w:ascii="Arial" w:cs="Arial" w:eastAsia="Arial" w:hAnsi="Arial"/>
          <w:b/>
          <w:bCs/>
          <w:color w:val="B84020"/>
          <w:sz w:val="22"/>
          <w:szCs w:val="22"/>
        </w:rPr>
        <w:t xml:space="preserve">Documentation requirements — </w:t>
      </w:r>
      <w:r>
        <w:rPr>
          <w:rFonts w:ascii="Arial" w:cs="Arial" w:eastAsia="Arial" w:hAnsi="Arial"/>
          <w:color w:val="363C4A"/>
          <w:sz w:val="22"/>
          <w:szCs w:val="22"/>
        </w:rPr>
        <w:t xml:space="preserve">hosts must provide extensive documentation of property condition, prior to the guest’s arrival, to support any damage claim; failure to document can result in claim denial</w:t>
      </w:r>
    </w:p>
    <w:p>
      <w:pPr>
        <w:pStyle w:val="ListParagraph"/>
        <w:numPr>
          <w:ilvl w:val="0"/>
          <w:numId w:val="2"/>
        </w:numPr>
        <w:spacing w:after="60" w:before="60"/>
      </w:pPr>
      <w:r>
        <w:rPr>
          <w:rFonts w:ascii="Arial" w:cs="Arial" w:eastAsia="Arial" w:hAnsi="Arial"/>
          <w:b/>
          <w:bCs/>
          <w:color w:val="B84020"/>
          <w:sz w:val="22"/>
          <w:szCs w:val="22"/>
        </w:rPr>
        <w:t xml:space="preserve">Exclusions mirror AirCover’s — </w:t>
      </w:r>
      <w:r>
        <w:rPr>
          <w:rFonts w:ascii="Arial" w:cs="Arial" w:eastAsia="Arial" w:hAnsi="Arial"/>
          <w:color w:val="363C4A"/>
          <w:sz w:val="22"/>
          <w:szCs w:val="22"/>
        </w:rPr>
        <w:t xml:space="preserve">similar exclusions for natural disasters, pre-existing conditions, and certain property types apply</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2280"/>
        <w:gridCol w:w="2280"/>
        <w:gridCol w:w="2400"/>
      </w:tblGrid>
      <w:tr>
        <w:tc>
          <w:tcPr>
            <w:tcW w:type="dxa" w:w="2400"/>
            <w:tcBorders>
              <w:top w:val="none" w:color="FFFFFF" w:sz="0"/>
              <w:left w:val="none" w:color="FFFFFF" w:sz="0"/>
              <w:bottom w:val="none" w:color="FFFFFF" w:sz="0"/>
              <w:right w:val="none" w:color="FFFFFF" w:sz="0"/>
            </w:tcBorders>
            <w:shd w:fill="2A3848"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Coverage Area</w:t>
            </w:r>
          </w:p>
        </w:tc>
        <w:tc>
          <w:tcPr>
            <w:tcW w:type="dxa" w:w="2280"/>
            <w:tcBorders>
              <w:top w:val="none" w:color="FFFFFF" w:sz="0"/>
              <w:left w:val="none" w:color="FFFFFF" w:sz="0"/>
              <w:bottom w:val="none" w:color="FFFFFF" w:sz="0"/>
              <w:right w:val="none" w:color="FFFFFF" w:sz="0"/>
            </w:tcBorders>
            <w:shd w:fill="B84020"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Airbnb AirCover</w:t>
            </w:r>
          </w:p>
        </w:tc>
        <w:tc>
          <w:tcPr>
            <w:tcW w:type="dxa" w:w="2280"/>
            <w:tcBorders>
              <w:top w:val="none" w:color="FFFFFF" w:sz="0"/>
              <w:left w:val="none" w:color="FFFFFF" w:sz="0"/>
              <w:bottom w:val="none" w:color="FFFFFF" w:sz="0"/>
              <w:right w:val="none" w:color="FFFFFF" w:sz="0"/>
            </w:tcBorders>
            <w:shd w:fill="B84020"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VRBO Host Guarantee</w:t>
            </w:r>
          </w:p>
        </w:tc>
        <w:tc>
          <w:tcPr>
            <w:tcW w:type="dxa" w:w="2400"/>
            <w:tcBorders>
              <w:top w:val="none" w:color="FFFFFF" w:sz="0"/>
              <w:left w:val="none" w:color="FFFFFF" w:sz="0"/>
              <w:bottom w:val="none" w:color="FFFFFF" w:sz="0"/>
              <w:right w:val="none" w:color="FFFFFF" w:sz="0"/>
            </w:tcBorders>
            <w:shd w:fill="0F5858"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Standalone Policy</w:t>
            </w:r>
          </w:p>
        </w:tc>
      </w:tr>
      <w:tr>
        <w:tc>
          <w:tcPr>
            <w:tcW w:type="dxa" w:w="2400"/>
            <w:tcBorders>
              <w:top w:val="single" w:color="C0CCCC" w:sz="1"/>
              <w:left w:val="single" w:color="C0CCCC" w:sz="1"/>
              <w:bottom w:val="single" w:color="C0CCCC" w:sz="1"/>
              <w:right w:val="single" w:color="C0CCCC" w:sz="1"/>
            </w:tcBorders>
            <w:shd w:fill="FFFFFF" w:val="clear"/>
            <w:tcMar>
              <w:top w:type="dxa" w:w="80"/>
              <w:left w:type="dxa" w:w="140"/>
              <w:bottom w:type="dxa" w:w="80"/>
              <w:right w:type="dxa" w:w="140"/>
            </w:tcMar>
          </w:tcPr>
          <w:p>
            <w:pPr>
              <w:spacing w:after="0" w:before="0"/>
            </w:pPr>
            <w:r>
              <w:rPr>
                <w:rFonts w:ascii="Arial" w:cs="Arial" w:eastAsia="Arial" w:hAnsi="Arial"/>
                <w:b/>
                <w:bCs/>
                <w:color w:val="1A1E28"/>
                <w:sz w:val="19"/>
                <w:szCs w:val="19"/>
              </w:rPr>
              <w:t xml:space="preserve">Property damage limit</w:t>
            </w:r>
          </w:p>
        </w:tc>
        <w:tc>
          <w:tcPr>
            <w:tcW w:type="dxa" w:w="2280"/>
            <w:tcBorders>
              <w:top w:val="single" w:color="C0CCCC" w:sz="1"/>
              <w:left w:val="single" w:color="C0CCCC" w:sz="1"/>
              <w:bottom w:val="single" w:color="C0CCCC" w:sz="1"/>
              <w:right w:val="single" w:color="C0CCCC"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63C4A"/>
                <w:sz w:val="19"/>
                <w:szCs w:val="19"/>
              </w:rPr>
              <w:t xml:space="preserve">Up to $3M</w:t>
            </w:r>
          </w:p>
        </w:tc>
        <w:tc>
          <w:tcPr>
            <w:tcW w:type="dxa" w:w="2280"/>
            <w:tcBorders>
              <w:top w:val="single" w:color="C0CCCC" w:sz="1"/>
              <w:left w:val="single" w:color="C0CCCC" w:sz="1"/>
              <w:bottom w:val="single" w:color="C0CCCC" w:sz="1"/>
              <w:right w:val="single" w:color="C0CCCC"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63C4A"/>
                <w:sz w:val="19"/>
                <w:szCs w:val="19"/>
              </w:rPr>
              <w:t xml:space="preserve">Up to $1M</w:t>
            </w:r>
          </w:p>
        </w:tc>
        <w:tc>
          <w:tcPr>
            <w:tcW w:type="dxa" w:w="2400"/>
            <w:tcBorders>
              <w:top w:val="single" w:color="C0CCCC" w:sz="1"/>
              <w:left w:val="single" w:color="C0CCCC" w:sz="1"/>
              <w:bottom w:val="single" w:color="C0CCCC" w:sz="1"/>
              <w:right w:val="single" w:color="C0CCCC"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63C4A"/>
                <w:sz w:val="19"/>
                <w:szCs w:val="19"/>
              </w:rPr>
              <w:t xml:space="preserve">Custom to property value</w:t>
            </w:r>
          </w:p>
        </w:tc>
      </w:tr>
      <w:tr>
        <w:tc>
          <w:tcPr>
            <w:tcW w:type="dxa" w:w="2400"/>
            <w:tcBorders>
              <w:top w:val="single" w:color="C0CCCC" w:sz="1"/>
              <w:left w:val="single" w:color="C0CCCC" w:sz="1"/>
              <w:bottom w:val="single" w:color="C0CCCC" w:sz="1"/>
              <w:right w:val="single" w:color="C0CCCC" w:sz="1"/>
            </w:tcBorders>
            <w:shd w:fill="FDF2EE" w:val="clear"/>
            <w:tcMar>
              <w:top w:type="dxa" w:w="80"/>
              <w:left w:type="dxa" w:w="140"/>
              <w:bottom w:type="dxa" w:w="80"/>
              <w:right w:type="dxa" w:w="140"/>
            </w:tcMar>
          </w:tcPr>
          <w:p>
            <w:pPr>
              <w:spacing w:after="0" w:before="0"/>
            </w:pPr>
            <w:r>
              <w:rPr>
                <w:rFonts w:ascii="Arial" w:cs="Arial" w:eastAsia="Arial" w:hAnsi="Arial"/>
                <w:b/>
                <w:bCs/>
                <w:color w:val="1A1E28"/>
                <w:sz w:val="19"/>
                <w:szCs w:val="19"/>
              </w:rPr>
              <w:t xml:space="preserve">Liability limit</w:t>
            </w:r>
          </w:p>
        </w:tc>
        <w:tc>
          <w:tcPr>
            <w:tcW w:type="dxa" w:w="2280"/>
            <w:tcBorders>
              <w:top w:val="single" w:color="C0CCCC" w:sz="1"/>
              <w:left w:val="single" w:color="C0CCCC" w:sz="1"/>
              <w:bottom w:val="single" w:color="C0CCCC" w:sz="1"/>
              <w:right w:val="single" w:color="C0CCCC" w:sz="1"/>
            </w:tcBorders>
            <w:shd w:fill="FDF2EE" w:val="clear"/>
            <w:tcMar>
              <w:top w:type="dxa" w:w="80"/>
              <w:left w:type="dxa" w:w="140"/>
              <w:bottom w:type="dxa" w:w="80"/>
              <w:right w:type="dxa" w:w="140"/>
            </w:tcMar>
          </w:tcPr>
          <w:p>
            <w:pPr>
              <w:spacing w:after="0" w:before="0"/>
            </w:pPr>
            <w:r>
              <w:rPr>
                <w:rFonts w:ascii="Arial" w:cs="Arial" w:eastAsia="Arial" w:hAnsi="Arial"/>
                <w:b w:val="false"/>
                <w:bCs w:val="false"/>
                <w:color w:val="363C4A"/>
                <w:sz w:val="19"/>
                <w:szCs w:val="19"/>
              </w:rPr>
              <w:t xml:space="preserve">Up to $1M</w:t>
            </w:r>
          </w:p>
        </w:tc>
        <w:tc>
          <w:tcPr>
            <w:tcW w:type="dxa" w:w="2280"/>
            <w:tcBorders>
              <w:top w:val="single" w:color="C0CCCC" w:sz="1"/>
              <w:left w:val="single" w:color="C0CCCC" w:sz="1"/>
              <w:bottom w:val="single" w:color="C0CCCC" w:sz="1"/>
              <w:right w:val="single" w:color="C0CCCC" w:sz="1"/>
            </w:tcBorders>
            <w:shd w:fill="FDF2EE" w:val="clear"/>
            <w:tcMar>
              <w:top w:type="dxa" w:w="80"/>
              <w:left w:type="dxa" w:w="140"/>
              <w:bottom w:type="dxa" w:w="80"/>
              <w:right w:type="dxa" w:w="140"/>
            </w:tcMar>
          </w:tcPr>
          <w:p>
            <w:pPr>
              <w:spacing w:after="0" w:before="0"/>
            </w:pPr>
            <w:r>
              <w:rPr>
                <w:rFonts w:ascii="Arial" w:cs="Arial" w:eastAsia="Arial" w:hAnsi="Arial"/>
                <w:b w:val="false"/>
                <w:bCs w:val="false"/>
                <w:color w:val="363C4A"/>
                <w:sz w:val="19"/>
                <w:szCs w:val="19"/>
              </w:rPr>
              <w:t xml:space="preserve">Up to $1M</w:t>
            </w:r>
          </w:p>
        </w:tc>
        <w:tc>
          <w:tcPr>
            <w:tcW w:type="dxa" w:w="2400"/>
            <w:tcBorders>
              <w:top w:val="single" w:color="C0CCCC" w:sz="1"/>
              <w:left w:val="single" w:color="C0CCCC" w:sz="1"/>
              <w:bottom w:val="single" w:color="C0CCCC" w:sz="1"/>
              <w:right w:val="single" w:color="C0CCCC" w:sz="1"/>
            </w:tcBorders>
            <w:shd w:fill="FDF2EE" w:val="clear"/>
            <w:tcMar>
              <w:top w:type="dxa" w:w="80"/>
              <w:left w:type="dxa" w:w="140"/>
              <w:bottom w:type="dxa" w:w="80"/>
              <w:right w:type="dxa" w:w="140"/>
            </w:tcMar>
          </w:tcPr>
          <w:p>
            <w:pPr>
              <w:spacing w:after="0" w:before="0"/>
            </w:pPr>
            <w:r>
              <w:rPr>
                <w:rFonts w:ascii="Arial" w:cs="Arial" w:eastAsia="Arial" w:hAnsi="Arial"/>
                <w:b w:val="false"/>
                <w:bCs w:val="false"/>
                <w:color w:val="363C4A"/>
                <w:sz w:val="19"/>
                <w:szCs w:val="19"/>
              </w:rPr>
              <w:t xml:space="preserve">$500K–$2M+ available</w:t>
            </w:r>
          </w:p>
        </w:tc>
      </w:tr>
      <w:tr>
        <w:tc>
          <w:tcPr>
            <w:tcW w:type="dxa" w:w="2400"/>
            <w:tcBorders>
              <w:top w:val="single" w:color="C0CCCC" w:sz="1"/>
              <w:left w:val="single" w:color="C0CCCC" w:sz="1"/>
              <w:bottom w:val="single" w:color="C0CCCC" w:sz="1"/>
              <w:right w:val="single" w:color="C0CCCC" w:sz="1"/>
            </w:tcBorders>
            <w:shd w:fill="FFFFFF" w:val="clear"/>
            <w:tcMar>
              <w:top w:type="dxa" w:w="80"/>
              <w:left w:type="dxa" w:w="140"/>
              <w:bottom w:type="dxa" w:w="80"/>
              <w:right w:type="dxa" w:w="140"/>
            </w:tcMar>
          </w:tcPr>
          <w:p>
            <w:pPr>
              <w:spacing w:after="0" w:before="0"/>
            </w:pPr>
            <w:r>
              <w:rPr>
                <w:rFonts w:ascii="Arial" w:cs="Arial" w:eastAsia="Arial" w:hAnsi="Arial"/>
                <w:b/>
                <w:bCs/>
                <w:color w:val="1A1E28"/>
                <w:sz w:val="19"/>
                <w:szCs w:val="19"/>
              </w:rPr>
              <w:t xml:space="preserve">Loss of rental income</w:t>
            </w:r>
          </w:p>
        </w:tc>
        <w:tc>
          <w:tcPr>
            <w:tcW w:type="dxa" w:w="2280"/>
            <w:tcBorders>
              <w:top w:val="single" w:color="C0CCCC" w:sz="1"/>
              <w:left w:val="single" w:color="C0CCCC" w:sz="1"/>
              <w:bottom w:val="single" w:color="C0CCCC" w:sz="1"/>
              <w:right w:val="single" w:color="C0CCCC"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63C4A"/>
                <w:sz w:val="19"/>
                <w:szCs w:val="19"/>
              </w:rPr>
              <w:t xml:space="preserve">Not covered</w:t>
            </w:r>
          </w:p>
        </w:tc>
        <w:tc>
          <w:tcPr>
            <w:tcW w:type="dxa" w:w="2280"/>
            <w:tcBorders>
              <w:top w:val="single" w:color="C0CCCC" w:sz="1"/>
              <w:left w:val="single" w:color="C0CCCC" w:sz="1"/>
              <w:bottom w:val="single" w:color="C0CCCC" w:sz="1"/>
              <w:right w:val="single" w:color="C0CCCC"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63C4A"/>
                <w:sz w:val="19"/>
                <w:szCs w:val="19"/>
              </w:rPr>
              <w:t xml:space="preserve">Not covered</w:t>
            </w:r>
          </w:p>
        </w:tc>
        <w:tc>
          <w:tcPr>
            <w:tcW w:type="dxa" w:w="2400"/>
            <w:tcBorders>
              <w:top w:val="single" w:color="C0CCCC" w:sz="1"/>
              <w:left w:val="single" w:color="C0CCCC" w:sz="1"/>
              <w:bottom w:val="single" w:color="C0CCCC" w:sz="1"/>
              <w:right w:val="single" w:color="C0CCCC"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63C4A"/>
                <w:sz w:val="19"/>
                <w:szCs w:val="19"/>
              </w:rPr>
              <w:t xml:space="preserve">Covered</w:t>
            </w:r>
          </w:p>
        </w:tc>
      </w:tr>
      <w:tr>
        <w:tc>
          <w:tcPr>
            <w:tcW w:type="dxa" w:w="2400"/>
            <w:tcBorders>
              <w:top w:val="single" w:color="C0CCCC" w:sz="1"/>
              <w:left w:val="single" w:color="C0CCCC" w:sz="1"/>
              <w:bottom w:val="single" w:color="C0CCCC" w:sz="1"/>
              <w:right w:val="single" w:color="C0CCCC" w:sz="1"/>
            </w:tcBorders>
            <w:shd w:fill="FDF2EE" w:val="clear"/>
            <w:tcMar>
              <w:top w:type="dxa" w:w="80"/>
              <w:left w:type="dxa" w:w="140"/>
              <w:bottom w:type="dxa" w:w="80"/>
              <w:right w:type="dxa" w:w="140"/>
            </w:tcMar>
          </w:tcPr>
          <w:p>
            <w:pPr>
              <w:spacing w:after="0" w:before="0"/>
            </w:pPr>
            <w:r>
              <w:rPr>
                <w:rFonts w:ascii="Arial" w:cs="Arial" w:eastAsia="Arial" w:hAnsi="Arial"/>
                <w:b/>
                <w:bCs/>
                <w:color w:val="1A1E28"/>
                <w:sz w:val="19"/>
                <w:szCs w:val="19"/>
              </w:rPr>
              <w:t xml:space="preserve">Non-platform bookings</w:t>
            </w:r>
          </w:p>
        </w:tc>
        <w:tc>
          <w:tcPr>
            <w:tcW w:type="dxa" w:w="2280"/>
            <w:tcBorders>
              <w:top w:val="single" w:color="C0CCCC" w:sz="1"/>
              <w:left w:val="single" w:color="C0CCCC" w:sz="1"/>
              <w:bottom w:val="single" w:color="C0CCCC" w:sz="1"/>
              <w:right w:val="single" w:color="C0CCCC" w:sz="1"/>
            </w:tcBorders>
            <w:shd w:fill="FDF2EE" w:val="clear"/>
            <w:tcMar>
              <w:top w:type="dxa" w:w="80"/>
              <w:left w:type="dxa" w:w="140"/>
              <w:bottom w:type="dxa" w:w="80"/>
              <w:right w:type="dxa" w:w="140"/>
            </w:tcMar>
          </w:tcPr>
          <w:p>
            <w:pPr>
              <w:spacing w:after="0" w:before="0"/>
            </w:pPr>
            <w:r>
              <w:rPr>
                <w:rFonts w:ascii="Arial" w:cs="Arial" w:eastAsia="Arial" w:hAnsi="Arial"/>
                <w:b w:val="false"/>
                <w:bCs w:val="false"/>
                <w:color w:val="363C4A"/>
                <w:sz w:val="19"/>
                <w:szCs w:val="19"/>
              </w:rPr>
              <w:t xml:space="preserve">Not covered</w:t>
            </w:r>
          </w:p>
        </w:tc>
        <w:tc>
          <w:tcPr>
            <w:tcW w:type="dxa" w:w="2280"/>
            <w:tcBorders>
              <w:top w:val="single" w:color="C0CCCC" w:sz="1"/>
              <w:left w:val="single" w:color="C0CCCC" w:sz="1"/>
              <w:bottom w:val="single" w:color="C0CCCC" w:sz="1"/>
              <w:right w:val="single" w:color="C0CCCC" w:sz="1"/>
            </w:tcBorders>
            <w:shd w:fill="FDF2EE" w:val="clear"/>
            <w:tcMar>
              <w:top w:type="dxa" w:w="80"/>
              <w:left w:type="dxa" w:w="140"/>
              <w:bottom w:type="dxa" w:w="80"/>
              <w:right w:type="dxa" w:w="140"/>
            </w:tcMar>
          </w:tcPr>
          <w:p>
            <w:pPr>
              <w:spacing w:after="0" w:before="0"/>
            </w:pPr>
            <w:r>
              <w:rPr>
                <w:rFonts w:ascii="Arial" w:cs="Arial" w:eastAsia="Arial" w:hAnsi="Arial"/>
                <w:b w:val="false"/>
                <w:bCs w:val="false"/>
                <w:color w:val="363C4A"/>
                <w:sz w:val="19"/>
                <w:szCs w:val="19"/>
              </w:rPr>
              <w:t xml:space="preserve">Not covered</w:t>
            </w:r>
          </w:p>
        </w:tc>
        <w:tc>
          <w:tcPr>
            <w:tcW w:type="dxa" w:w="2400"/>
            <w:tcBorders>
              <w:top w:val="single" w:color="C0CCCC" w:sz="1"/>
              <w:left w:val="single" w:color="C0CCCC" w:sz="1"/>
              <w:bottom w:val="single" w:color="C0CCCC" w:sz="1"/>
              <w:right w:val="single" w:color="C0CCCC" w:sz="1"/>
            </w:tcBorders>
            <w:shd w:fill="FDF2EE" w:val="clear"/>
            <w:tcMar>
              <w:top w:type="dxa" w:w="80"/>
              <w:left w:type="dxa" w:w="140"/>
              <w:bottom w:type="dxa" w:w="80"/>
              <w:right w:type="dxa" w:w="140"/>
            </w:tcMar>
          </w:tcPr>
          <w:p>
            <w:pPr>
              <w:spacing w:after="0" w:before="0"/>
            </w:pPr>
            <w:r>
              <w:rPr>
                <w:rFonts w:ascii="Arial" w:cs="Arial" w:eastAsia="Arial" w:hAnsi="Arial"/>
                <w:b w:val="false"/>
                <w:bCs w:val="false"/>
                <w:color w:val="363C4A"/>
                <w:sz w:val="19"/>
                <w:szCs w:val="19"/>
              </w:rPr>
              <w:t xml:space="preserve">All bookings covered</w:t>
            </w:r>
          </w:p>
        </w:tc>
      </w:tr>
      <w:tr>
        <w:tc>
          <w:tcPr>
            <w:tcW w:type="dxa" w:w="2400"/>
            <w:tcBorders>
              <w:top w:val="single" w:color="C0CCCC" w:sz="1"/>
              <w:left w:val="single" w:color="C0CCCC" w:sz="1"/>
              <w:bottom w:val="single" w:color="C0CCCC" w:sz="1"/>
              <w:right w:val="single" w:color="C0CCCC" w:sz="1"/>
            </w:tcBorders>
            <w:shd w:fill="FFFFFF" w:val="clear"/>
            <w:tcMar>
              <w:top w:type="dxa" w:w="80"/>
              <w:left w:type="dxa" w:w="140"/>
              <w:bottom w:type="dxa" w:w="80"/>
              <w:right w:type="dxa" w:w="140"/>
            </w:tcMar>
          </w:tcPr>
          <w:p>
            <w:pPr>
              <w:spacing w:after="0" w:before="0"/>
            </w:pPr>
            <w:r>
              <w:rPr>
                <w:rFonts w:ascii="Arial" w:cs="Arial" w:eastAsia="Arial" w:hAnsi="Arial"/>
                <w:b/>
                <w:bCs/>
                <w:color w:val="1A1E28"/>
                <w:sz w:val="19"/>
                <w:szCs w:val="19"/>
              </w:rPr>
              <w:t xml:space="preserve">Natural disasters</w:t>
            </w:r>
          </w:p>
        </w:tc>
        <w:tc>
          <w:tcPr>
            <w:tcW w:type="dxa" w:w="2280"/>
            <w:tcBorders>
              <w:top w:val="single" w:color="C0CCCC" w:sz="1"/>
              <w:left w:val="single" w:color="C0CCCC" w:sz="1"/>
              <w:bottom w:val="single" w:color="C0CCCC" w:sz="1"/>
              <w:right w:val="single" w:color="C0CCCC"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63C4A"/>
                <w:sz w:val="19"/>
                <w:szCs w:val="19"/>
              </w:rPr>
              <w:t xml:space="preserve">Excluded</w:t>
            </w:r>
          </w:p>
        </w:tc>
        <w:tc>
          <w:tcPr>
            <w:tcW w:type="dxa" w:w="2280"/>
            <w:tcBorders>
              <w:top w:val="single" w:color="C0CCCC" w:sz="1"/>
              <w:left w:val="single" w:color="C0CCCC" w:sz="1"/>
              <w:bottom w:val="single" w:color="C0CCCC" w:sz="1"/>
              <w:right w:val="single" w:color="C0CCCC"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63C4A"/>
                <w:sz w:val="19"/>
                <w:szCs w:val="19"/>
              </w:rPr>
              <w:t xml:space="preserve">Excluded</w:t>
            </w:r>
          </w:p>
        </w:tc>
        <w:tc>
          <w:tcPr>
            <w:tcW w:type="dxa" w:w="2400"/>
            <w:tcBorders>
              <w:top w:val="single" w:color="C0CCCC" w:sz="1"/>
              <w:left w:val="single" w:color="C0CCCC" w:sz="1"/>
              <w:bottom w:val="single" w:color="C0CCCC" w:sz="1"/>
              <w:right w:val="single" w:color="C0CCCC"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63C4A"/>
                <w:sz w:val="19"/>
                <w:szCs w:val="19"/>
              </w:rPr>
              <w:t xml:space="preserve">Covered (separate policy)</w:t>
            </w:r>
          </w:p>
        </w:tc>
      </w:tr>
      <w:tr>
        <w:tc>
          <w:tcPr>
            <w:tcW w:type="dxa" w:w="2400"/>
            <w:tcBorders>
              <w:top w:val="single" w:color="C0CCCC" w:sz="1"/>
              <w:left w:val="single" w:color="C0CCCC" w:sz="1"/>
              <w:bottom w:val="single" w:color="C0CCCC" w:sz="1"/>
              <w:right w:val="single" w:color="C0CCCC" w:sz="1"/>
            </w:tcBorders>
            <w:shd w:fill="FDF2EE" w:val="clear"/>
            <w:tcMar>
              <w:top w:type="dxa" w:w="80"/>
              <w:left w:type="dxa" w:w="140"/>
              <w:bottom w:type="dxa" w:w="80"/>
              <w:right w:type="dxa" w:w="140"/>
            </w:tcMar>
          </w:tcPr>
          <w:p>
            <w:pPr>
              <w:spacing w:after="0" w:before="0"/>
            </w:pPr>
            <w:r>
              <w:rPr>
                <w:rFonts w:ascii="Arial" w:cs="Arial" w:eastAsia="Arial" w:hAnsi="Arial"/>
                <w:b/>
                <w:bCs/>
                <w:color w:val="1A1E28"/>
                <w:sz w:val="19"/>
                <w:szCs w:val="19"/>
              </w:rPr>
              <w:t xml:space="preserve">Pre-existing conditions</w:t>
            </w:r>
          </w:p>
        </w:tc>
        <w:tc>
          <w:tcPr>
            <w:tcW w:type="dxa" w:w="2280"/>
            <w:tcBorders>
              <w:top w:val="single" w:color="C0CCCC" w:sz="1"/>
              <w:left w:val="single" w:color="C0CCCC" w:sz="1"/>
              <w:bottom w:val="single" w:color="C0CCCC" w:sz="1"/>
              <w:right w:val="single" w:color="C0CCCC" w:sz="1"/>
            </w:tcBorders>
            <w:shd w:fill="FDF2EE" w:val="clear"/>
            <w:tcMar>
              <w:top w:type="dxa" w:w="80"/>
              <w:left w:type="dxa" w:w="140"/>
              <w:bottom w:type="dxa" w:w="80"/>
              <w:right w:type="dxa" w:w="140"/>
            </w:tcMar>
          </w:tcPr>
          <w:p>
            <w:pPr>
              <w:spacing w:after="0" w:before="0"/>
            </w:pPr>
            <w:r>
              <w:rPr>
                <w:rFonts w:ascii="Arial" w:cs="Arial" w:eastAsia="Arial" w:hAnsi="Arial"/>
                <w:b w:val="false"/>
                <w:bCs w:val="false"/>
                <w:color w:val="363C4A"/>
                <w:sz w:val="19"/>
                <w:szCs w:val="19"/>
              </w:rPr>
              <w:t xml:space="preserve">Excluded</w:t>
            </w:r>
          </w:p>
        </w:tc>
        <w:tc>
          <w:tcPr>
            <w:tcW w:type="dxa" w:w="2280"/>
            <w:tcBorders>
              <w:top w:val="single" w:color="C0CCCC" w:sz="1"/>
              <w:left w:val="single" w:color="C0CCCC" w:sz="1"/>
              <w:bottom w:val="single" w:color="C0CCCC" w:sz="1"/>
              <w:right w:val="single" w:color="C0CCCC" w:sz="1"/>
            </w:tcBorders>
            <w:shd w:fill="FDF2EE" w:val="clear"/>
            <w:tcMar>
              <w:top w:type="dxa" w:w="80"/>
              <w:left w:type="dxa" w:w="140"/>
              <w:bottom w:type="dxa" w:w="80"/>
              <w:right w:type="dxa" w:w="140"/>
            </w:tcMar>
          </w:tcPr>
          <w:p>
            <w:pPr>
              <w:spacing w:after="0" w:before="0"/>
            </w:pPr>
            <w:r>
              <w:rPr>
                <w:rFonts w:ascii="Arial" w:cs="Arial" w:eastAsia="Arial" w:hAnsi="Arial"/>
                <w:b w:val="false"/>
                <w:bCs w:val="false"/>
                <w:color w:val="363C4A"/>
                <w:sz w:val="19"/>
                <w:szCs w:val="19"/>
              </w:rPr>
              <w:t xml:space="preserve">Excluded</w:t>
            </w:r>
          </w:p>
        </w:tc>
        <w:tc>
          <w:tcPr>
            <w:tcW w:type="dxa" w:w="2400"/>
            <w:tcBorders>
              <w:top w:val="single" w:color="C0CCCC" w:sz="1"/>
              <w:left w:val="single" w:color="C0CCCC" w:sz="1"/>
              <w:bottom w:val="single" w:color="C0CCCC" w:sz="1"/>
              <w:right w:val="single" w:color="C0CCCC" w:sz="1"/>
            </w:tcBorders>
            <w:shd w:fill="FDF2EE" w:val="clear"/>
            <w:tcMar>
              <w:top w:type="dxa" w:w="80"/>
              <w:left w:type="dxa" w:w="140"/>
              <w:bottom w:type="dxa" w:w="80"/>
              <w:right w:type="dxa" w:w="140"/>
            </w:tcMar>
          </w:tcPr>
          <w:p>
            <w:pPr>
              <w:spacing w:after="0" w:before="0"/>
            </w:pPr>
            <w:r>
              <w:rPr>
                <w:rFonts w:ascii="Arial" w:cs="Arial" w:eastAsia="Arial" w:hAnsi="Arial"/>
                <w:b w:val="false"/>
                <w:bCs w:val="false"/>
                <w:color w:val="363C4A"/>
                <w:sz w:val="19"/>
                <w:szCs w:val="19"/>
              </w:rPr>
              <w:t xml:space="preserve">Covered if undisclosed</w:t>
            </w:r>
          </w:p>
        </w:tc>
      </w:tr>
      <w:tr>
        <w:tc>
          <w:tcPr>
            <w:tcW w:type="dxa" w:w="2400"/>
            <w:tcBorders>
              <w:top w:val="single" w:color="C0CCCC" w:sz="1"/>
              <w:left w:val="single" w:color="C0CCCC" w:sz="1"/>
              <w:bottom w:val="single" w:color="C0CCCC" w:sz="1"/>
              <w:right w:val="single" w:color="C0CCCC" w:sz="1"/>
            </w:tcBorders>
            <w:shd w:fill="FFFFFF" w:val="clear"/>
            <w:tcMar>
              <w:top w:type="dxa" w:w="80"/>
              <w:left w:type="dxa" w:w="140"/>
              <w:bottom w:type="dxa" w:w="80"/>
              <w:right w:type="dxa" w:w="140"/>
            </w:tcMar>
          </w:tcPr>
          <w:p>
            <w:pPr>
              <w:spacing w:after="0" w:before="0"/>
            </w:pPr>
            <w:r>
              <w:rPr>
                <w:rFonts w:ascii="Arial" w:cs="Arial" w:eastAsia="Arial" w:hAnsi="Arial"/>
                <w:b/>
                <w:bCs/>
                <w:color w:val="1A1E28"/>
                <w:sz w:val="19"/>
                <w:szCs w:val="19"/>
              </w:rPr>
              <w:t xml:space="preserve">Regulated insurance</w:t>
            </w:r>
          </w:p>
        </w:tc>
        <w:tc>
          <w:tcPr>
            <w:tcW w:type="dxa" w:w="2280"/>
            <w:tcBorders>
              <w:top w:val="single" w:color="C0CCCC" w:sz="1"/>
              <w:left w:val="single" w:color="C0CCCC" w:sz="1"/>
              <w:bottom w:val="single" w:color="C0CCCC" w:sz="1"/>
              <w:right w:val="single" w:color="C0CCCC"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63C4A"/>
                <w:sz w:val="19"/>
                <w:szCs w:val="19"/>
              </w:rPr>
              <w:t xml:space="preserve">No</w:t>
            </w:r>
          </w:p>
        </w:tc>
        <w:tc>
          <w:tcPr>
            <w:tcW w:type="dxa" w:w="2280"/>
            <w:tcBorders>
              <w:top w:val="single" w:color="C0CCCC" w:sz="1"/>
              <w:left w:val="single" w:color="C0CCCC" w:sz="1"/>
              <w:bottom w:val="single" w:color="C0CCCC" w:sz="1"/>
              <w:right w:val="single" w:color="C0CCCC"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63C4A"/>
                <w:sz w:val="19"/>
                <w:szCs w:val="19"/>
              </w:rPr>
              <w:t xml:space="preserve">No</w:t>
            </w:r>
          </w:p>
        </w:tc>
        <w:tc>
          <w:tcPr>
            <w:tcW w:type="dxa" w:w="2400"/>
            <w:tcBorders>
              <w:top w:val="single" w:color="C0CCCC" w:sz="1"/>
              <w:left w:val="single" w:color="C0CCCC" w:sz="1"/>
              <w:bottom w:val="single" w:color="C0CCCC" w:sz="1"/>
              <w:right w:val="single" w:color="C0CCCC"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63C4A"/>
                <w:sz w:val="19"/>
                <w:szCs w:val="19"/>
              </w:rPr>
              <w:t xml:space="preserve">Yes — state regulated</w:t>
            </w:r>
          </w:p>
        </w:tc>
      </w:tr>
      <w:tr>
        <w:tc>
          <w:tcPr>
            <w:tcW w:type="dxa" w:w="2400"/>
            <w:tcBorders>
              <w:top w:val="single" w:color="C0CCCC" w:sz="1"/>
              <w:left w:val="single" w:color="C0CCCC" w:sz="1"/>
              <w:bottom w:val="single" w:color="C0CCCC" w:sz="1"/>
              <w:right w:val="single" w:color="C0CCCC" w:sz="1"/>
            </w:tcBorders>
            <w:shd w:fill="FDF2EE" w:val="clear"/>
            <w:tcMar>
              <w:top w:type="dxa" w:w="80"/>
              <w:left w:type="dxa" w:w="140"/>
              <w:bottom w:type="dxa" w:w="80"/>
              <w:right w:type="dxa" w:w="140"/>
            </w:tcMar>
          </w:tcPr>
          <w:p>
            <w:pPr>
              <w:spacing w:after="0" w:before="0"/>
            </w:pPr>
            <w:r>
              <w:rPr>
                <w:rFonts w:ascii="Arial" w:cs="Arial" w:eastAsia="Arial" w:hAnsi="Arial"/>
                <w:b/>
                <w:bCs/>
                <w:color w:val="1A1E28"/>
                <w:sz w:val="19"/>
                <w:szCs w:val="19"/>
              </w:rPr>
              <w:t xml:space="preserve">Satisfies lender req.</w:t>
            </w:r>
          </w:p>
        </w:tc>
        <w:tc>
          <w:tcPr>
            <w:tcW w:type="dxa" w:w="2280"/>
            <w:tcBorders>
              <w:top w:val="single" w:color="C0CCCC" w:sz="1"/>
              <w:left w:val="single" w:color="C0CCCC" w:sz="1"/>
              <w:bottom w:val="single" w:color="C0CCCC" w:sz="1"/>
              <w:right w:val="single" w:color="C0CCCC" w:sz="1"/>
            </w:tcBorders>
            <w:shd w:fill="FDF2EE" w:val="clear"/>
            <w:tcMar>
              <w:top w:type="dxa" w:w="80"/>
              <w:left w:type="dxa" w:w="140"/>
              <w:bottom w:type="dxa" w:w="80"/>
              <w:right w:type="dxa" w:w="140"/>
            </w:tcMar>
          </w:tcPr>
          <w:p>
            <w:pPr>
              <w:spacing w:after="0" w:before="0"/>
            </w:pPr>
            <w:r>
              <w:rPr>
                <w:rFonts w:ascii="Arial" w:cs="Arial" w:eastAsia="Arial" w:hAnsi="Arial"/>
                <w:b w:val="false"/>
                <w:bCs w:val="false"/>
                <w:color w:val="363C4A"/>
                <w:sz w:val="19"/>
                <w:szCs w:val="19"/>
              </w:rPr>
              <w:t xml:space="preserve">No</w:t>
            </w:r>
          </w:p>
        </w:tc>
        <w:tc>
          <w:tcPr>
            <w:tcW w:type="dxa" w:w="2280"/>
            <w:tcBorders>
              <w:top w:val="single" w:color="C0CCCC" w:sz="1"/>
              <w:left w:val="single" w:color="C0CCCC" w:sz="1"/>
              <w:bottom w:val="single" w:color="C0CCCC" w:sz="1"/>
              <w:right w:val="single" w:color="C0CCCC" w:sz="1"/>
            </w:tcBorders>
            <w:shd w:fill="FDF2EE" w:val="clear"/>
            <w:tcMar>
              <w:top w:type="dxa" w:w="80"/>
              <w:left w:type="dxa" w:w="140"/>
              <w:bottom w:type="dxa" w:w="80"/>
              <w:right w:type="dxa" w:w="140"/>
            </w:tcMar>
          </w:tcPr>
          <w:p>
            <w:pPr>
              <w:spacing w:after="0" w:before="0"/>
            </w:pPr>
            <w:r>
              <w:rPr>
                <w:rFonts w:ascii="Arial" w:cs="Arial" w:eastAsia="Arial" w:hAnsi="Arial"/>
                <w:b w:val="false"/>
                <w:bCs w:val="false"/>
                <w:color w:val="363C4A"/>
                <w:sz w:val="19"/>
                <w:szCs w:val="19"/>
              </w:rPr>
              <w:t xml:space="preserve">No</w:t>
            </w:r>
          </w:p>
        </w:tc>
        <w:tc>
          <w:tcPr>
            <w:tcW w:type="dxa" w:w="2400"/>
            <w:tcBorders>
              <w:top w:val="single" w:color="C0CCCC" w:sz="1"/>
              <w:left w:val="single" w:color="C0CCCC" w:sz="1"/>
              <w:bottom w:val="single" w:color="C0CCCC" w:sz="1"/>
              <w:right w:val="single" w:color="C0CCCC" w:sz="1"/>
            </w:tcBorders>
            <w:shd w:fill="FDF2EE" w:val="clear"/>
            <w:tcMar>
              <w:top w:type="dxa" w:w="80"/>
              <w:left w:type="dxa" w:w="140"/>
              <w:bottom w:type="dxa" w:w="80"/>
              <w:right w:type="dxa" w:w="140"/>
            </w:tcMar>
          </w:tcPr>
          <w:p>
            <w:pPr>
              <w:spacing w:after="0" w:before="0"/>
            </w:pPr>
            <w:r>
              <w:rPr>
                <w:rFonts w:ascii="Arial" w:cs="Arial" w:eastAsia="Arial" w:hAnsi="Arial"/>
                <w:b w:val="false"/>
                <w:bCs w:val="false"/>
                <w:color w:val="363C4A"/>
                <w:sz w:val="19"/>
                <w:szCs w:val="19"/>
              </w:rPr>
              <w:t xml:space="preserve">Yes</w:t>
            </w:r>
          </w:p>
        </w:tc>
      </w:tr>
      <w:tr>
        <w:tc>
          <w:tcPr>
            <w:tcW w:type="dxa" w:w="2400"/>
            <w:tcBorders>
              <w:top w:val="single" w:color="C0CCCC" w:sz="1"/>
              <w:left w:val="single" w:color="C0CCCC" w:sz="1"/>
              <w:bottom w:val="single" w:color="C0CCCC" w:sz="1"/>
              <w:right w:val="single" w:color="C0CCCC" w:sz="1"/>
            </w:tcBorders>
            <w:shd w:fill="FFFFFF" w:val="clear"/>
            <w:tcMar>
              <w:top w:type="dxa" w:w="80"/>
              <w:left w:type="dxa" w:w="140"/>
              <w:bottom w:type="dxa" w:w="80"/>
              <w:right w:type="dxa" w:w="140"/>
            </w:tcMar>
          </w:tcPr>
          <w:p>
            <w:pPr>
              <w:spacing w:after="0" w:before="0"/>
            </w:pPr>
            <w:r>
              <w:rPr>
                <w:rFonts w:ascii="Arial" w:cs="Arial" w:eastAsia="Arial" w:hAnsi="Arial"/>
                <w:b/>
                <w:bCs/>
                <w:color w:val="1A1E28"/>
                <w:sz w:val="19"/>
                <w:szCs w:val="19"/>
              </w:rPr>
              <w:t xml:space="preserve">Claims independence</w:t>
            </w:r>
          </w:p>
        </w:tc>
        <w:tc>
          <w:tcPr>
            <w:tcW w:type="dxa" w:w="2280"/>
            <w:tcBorders>
              <w:top w:val="single" w:color="C0CCCC" w:sz="1"/>
              <w:left w:val="single" w:color="C0CCCC" w:sz="1"/>
              <w:bottom w:val="single" w:color="C0CCCC" w:sz="1"/>
              <w:right w:val="single" w:color="C0CCCC"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63C4A"/>
                <w:sz w:val="19"/>
                <w:szCs w:val="19"/>
              </w:rPr>
              <w:t xml:space="preserve">Platform decides</w:t>
            </w:r>
          </w:p>
        </w:tc>
        <w:tc>
          <w:tcPr>
            <w:tcW w:type="dxa" w:w="2280"/>
            <w:tcBorders>
              <w:top w:val="single" w:color="C0CCCC" w:sz="1"/>
              <w:left w:val="single" w:color="C0CCCC" w:sz="1"/>
              <w:bottom w:val="single" w:color="C0CCCC" w:sz="1"/>
              <w:right w:val="single" w:color="C0CCCC"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63C4A"/>
                <w:sz w:val="19"/>
                <w:szCs w:val="19"/>
              </w:rPr>
              <w:t xml:space="preserve">Platform decides</w:t>
            </w:r>
          </w:p>
        </w:tc>
        <w:tc>
          <w:tcPr>
            <w:tcW w:type="dxa" w:w="2400"/>
            <w:tcBorders>
              <w:top w:val="single" w:color="C0CCCC" w:sz="1"/>
              <w:left w:val="single" w:color="C0CCCC" w:sz="1"/>
              <w:bottom w:val="single" w:color="C0CCCC" w:sz="1"/>
              <w:right w:val="single" w:color="C0CCCC"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63C4A"/>
                <w:sz w:val="19"/>
                <w:szCs w:val="19"/>
              </w:rPr>
              <w:t xml:space="preserve">Independent carrier</w:t>
            </w:r>
          </w:p>
        </w:tc>
      </w:tr>
      <w:tr>
        <w:tc>
          <w:tcPr>
            <w:tcW w:type="dxa" w:w="2400"/>
            <w:tcBorders>
              <w:top w:val="single" w:color="C0CCCC" w:sz="1"/>
              <w:left w:val="single" w:color="C0CCCC" w:sz="1"/>
              <w:bottom w:val="single" w:color="C0CCCC" w:sz="1"/>
              <w:right w:val="single" w:color="C0CCCC" w:sz="1"/>
            </w:tcBorders>
            <w:shd w:fill="FDF2EE" w:val="clear"/>
            <w:tcMar>
              <w:top w:type="dxa" w:w="80"/>
              <w:left w:type="dxa" w:w="140"/>
              <w:bottom w:type="dxa" w:w="80"/>
              <w:right w:type="dxa" w:w="140"/>
            </w:tcMar>
          </w:tcPr>
          <w:p>
            <w:pPr>
              <w:spacing w:after="0" w:before="0"/>
            </w:pPr>
            <w:r>
              <w:rPr>
                <w:rFonts w:ascii="Arial" w:cs="Arial" w:eastAsia="Arial" w:hAnsi="Arial"/>
                <w:b/>
                <w:bCs/>
                <w:color w:val="1A1E28"/>
                <w:sz w:val="19"/>
                <w:szCs w:val="19"/>
              </w:rPr>
              <w:t xml:space="preserve">Cash / theft</w:t>
            </w:r>
          </w:p>
        </w:tc>
        <w:tc>
          <w:tcPr>
            <w:tcW w:type="dxa" w:w="2280"/>
            <w:tcBorders>
              <w:top w:val="single" w:color="C0CCCC" w:sz="1"/>
              <w:left w:val="single" w:color="C0CCCC" w:sz="1"/>
              <w:bottom w:val="single" w:color="C0CCCC" w:sz="1"/>
              <w:right w:val="single" w:color="C0CCCC" w:sz="1"/>
            </w:tcBorders>
            <w:shd w:fill="FDF2EE" w:val="clear"/>
            <w:tcMar>
              <w:top w:type="dxa" w:w="80"/>
              <w:left w:type="dxa" w:w="140"/>
              <w:bottom w:type="dxa" w:w="80"/>
              <w:right w:type="dxa" w:w="140"/>
            </w:tcMar>
          </w:tcPr>
          <w:p>
            <w:pPr>
              <w:spacing w:after="0" w:before="0"/>
            </w:pPr>
            <w:r>
              <w:rPr>
                <w:rFonts w:ascii="Arial" w:cs="Arial" w:eastAsia="Arial" w:hAnsi="Arial"/>
                <w:b w:val="false"/>
                <w:bCs w:val="false"/>
                <w:color w:val="363C4A"/>
                <w:sz w:val="19"/>
                <w:szCs w:val="19"/>
              </w:rPr>
              <w:t xml:space="preserve">Limited</w:t>
            </w:r>
          </w:p>
        </w:tc>
        <w:tc>
          <w:tcPr>
            <w:tcW w:type="dxa" w:w="2280"/>
            <w:tcBorders>
              <w:top w:val="single" w:color="C0CCCC" w:sz="1"/>
              <w:left w:val="single" w:color="C0CCCC" w:sz="1"/>
              <w:bottom w:val="single" w:color="C0CCCC" w:sz="1"/>
              <w:right w:val="single" w:color="C0CCCC" w:sz="1"/>
            </w:tcBorders>
            <w:shd w:fill="FDF2EE" w:val="clear"/>
            <w:tcMar>
              <w:top w:type="dxa" w:w="80"/>
              <w:left w:type="dxa" w:w="140"/>
              <w:bottom w:type="dxa" w:w="80"/>
              <w:right w:type="dxa" w:w="140"/>
            </w:tcMar>
          </w:tcPr>
          <w:p>
            <w:pPr>
              <w:spacing w:after="0" w:before="0"/>
            </w:pPr>
            <w:r>
              <w:rPr>
                <w:rFonts w:ascii="Arial" w:cs="Arial" w:eastAsia="Arial" w:hAnsi="Arial"/>
                <w:b w:val="false"/>
                <w:bCs w:val="false"/>
                <w:color w:val="363C4A"/>
                <w:sz w:val="19"/>
                <w:szCs w:val="19"/>
              </w:rPr>
              <w:t xml:space="preserve">Limited</w:t>
            </w:r>
          </w:p>
        </w:tc>
        <w:tc>
          <w:tcPr>
            <w:tcW w:type="dxa" w:w="2400"/>
            <w:tcBorders>
              <w:top w:val="single" w:color="C0CCCC" w:sz="1"/>
              <w:left w:val="single" w:color="C0CCCC" w:sz="1"/>
              <w:bottom w:val="single" w:color="C0CCCC" w:sz="1"/>
              <w:right w:val="single" w:color="C0CCCC" w:sz="1"/>
            </w:tcBorders>
            <w:shd w:fill="FDF2EE" w:val="clear"/>
            <w:tcMar>
              <w:top w:type="dxa" w:w="80"/>
              <w:left w:type="dxa" w:w="140"/>
              <w:bottom w:type="dxa" w:w="80"/>
              <w:right w:type="dxa" w:w="140"/>
            </w:tcMar>
          </w:tcPr>
          <w:p>
            <w:pPr>
              <w:spacing w:after="0" w:before="0"/>
            </w:pPr>
            <w:r>
              <w:rPr>
                <w:rFonts w:ascii="Arial" w:cs="Arial" w:eastAsia="Arial" w:hAnsi="Arial"/>
                <w:b w:val="false"/>
                <w:bCs w:val="false"/>
                <w:color w:val="363C4A"/>
                <w:sz w:val="19"/>
                <w:szCs w:val="19"/>
              </w:rPr>
              <w:t xml:space="preserve">Covered in VR policies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10"/>
              <w:left w:type="dxa" w:w="200"/>
              <w:bottom w:type="dxa" w:w="110"/>
              <w:right w:type="dxa" w:w="160"/>
            </w:tcMar>
          </w:tcPr>
          <w:p>
            <w:pPr>
              <w:spacing w:after="60" w:before="0"/>
            </w:pPr>
            <w:r>
              <w:rPr>
                <w:rFonts w:ascii="Arial" w:cs="Arial" w:eastAsia="Arial" w:hAnsi="Arial"/>
                <w:b/>
                <w:bCs/>
                <w:caps/>
                <w:color w:val="8B1A1A"/>
                <w:sz w:val="19"/>
                <w:szCs w:val="19"/>
              </w:rPr>
              <w:t xml:space="preserve">Do Not Rely on Platform Coverage as Your Primary Insurance</w:t>
            </w:r>
          </w:p>
          <w:p>
            <w:pPr>
              <w:spacing w:after="0" w:before="0"/>
            </w:pPr>
            <w:r>
              <w:rPr>
                <w:rFonts w:ascii="Arial" w:cs="Arial" w:eastAsia="Arial" w:hAnsi="Arial"/>
                <w:color w:val="5A1010"/>
                <w:sz w:val="20"/>
                <w:szCs w:val="20"/>
              </w:rPr>
              <w:t xml:space="preserve">Hosts who rely solely on Airbnb AirCover or VRBO’s guarantee as their primary coverage are exposed to potentially catastrophic uninsured losses. A guest death or serious injury, a major structural fire, or a natural disaster during an occupied rental period creates losses that platform protections were not designed to cover at the levels a serious claim requires. Every active vacation rental host needs a standalone vacation rental insurance policy.</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8B2E00" w:val="clear"/>
            <w:tcMar>
              <w:top w:type="dxa" w:w="160"/>
              <w:left w:type="dxa" w:w="240"/>
              <w:bottom w:type="dxa" w:w="160"/>
              <w:right w:type="dxa" w:w="240"/>
            </w:tcMar>
          </w:tcPr>
          <w:p>
            <w:pPr>
              <w:spacing w:after="0" w:before="0"/>
            </w:pPr>
            <w:r>
              <w:rPr>
                <w:rFonts w:ascii="Arial" w:cs="Arial" w:eastAsia="Arial" w:hAnsi="Arial"/>
                <w:b/>
                <w:bCs/>
                <w:color w:val="ECC0A8"/>
                <w:sz w:val="28"/>
                <w:szCs w:val="28"/>
              </w:rPr>
              <w:t xml:space="preserve">10.  </w:t>
            </w:r>
            <w:r>
              <w:rPr>
                <w:rFonts w:ascii="Arial" w:cs="Arial" w:eastAsia="Arial" w:hAnsi="Arial"/>
                <w:b/>
                <w:bCs/>
                <w:color w:val="FFFFFF"/>
                <w:sz w:val="28"/>
                <w:szCs w:val="28"/>
              </w:rPr>
              <w:t xml:space="preserve">Role of Vacation Rental Insurance in a Total Insurance Program</w:t>
            </w:r>
          </w:p>
        </w:tc>
      </w:tr>
    </w:tbl>
    <w:p>
      <w:pPr>
        <w:spacing w:after="0" w:before="100"/>
      </w:pPr>
      <w:r>
        <w:rPr>
          <w:rFonts w:ascii="Arial" w:cs="Arial" w:eastAsia="Arial" w:hAnsi="Arial"/>
        </w:rPr>
        <w:t xml:space="preserve"/>
      </w:r>
    </w:p>
    <w:p>
      <w:pPr>
        <w:spacing w:after="110" w:before="80"/>
      </w:pPr>
      <w:r>
        <w:rPr>
          <w:rFonts w:ascii="Arial" w:cs="Arial" w:eastAsia="Arial" w:hAnsi="Arial"/>
          <w:color w:val="1A1E28"/>
          <w:sz w:val="22"/>
          <w:szCs w:val="22"/>
        </w:rPr>
        <w:t xml:space="preserve">Vacation rental insurance is not a standalone product — it is one component of a comprehensive insurance program for property owners who generate income from short-term rentals. Understanding how vacation rental insurance coordinates with your other policies, fills the gaps those policies leave open, and integrates with your overall financial protection strategy is essential to building complete coverage.</w:t>
      </w:r>
    </w:p>
    <w:p>
      <w:pPr>
        <w:spacing w:after="0" w:before="100"/>
      </w:pPr>
      <w:r>
        <w:rPr>
          <w:rFonts w:ascii="Arial" w:cs="Arial" w:eastAsia="Arial" w:hAnsi="Arial"/>
        </w:rPr>
        <w:t xml:space="preserve"/>
      </w:r>
    </w:p>
    <w:p>
      <w:pPr>
        <w:pBdr>
          <w:bottom w:val="single" w:color="ECC0A8" w:sz="4" w:space="4"/>
        </w:pBdr>
        <w:spacing w:after="80" w:before="220"/>
      </w:pPr>
      <w:r>
        <w:rPr>
          <w:rFonts w:ascii="Arial" w:cs="Arial" w:eastAsia="Arial" w:hAnsi="Arial"/>
          <w:b/>
          <w:bCs/>
          <w:color w:val="8B2E00"/>
          <w:sz w:val="24"/>
          <w:szCs w:val="24"/>
        </w:rPr>
        <w:t xml:space="preserve">How Vacation Rental Insurance Fits the Complete Program</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none" w:color="FFFFFF" w:sz="0"/>
              <w:left w:val="none" w:color="FFFFFF" w:sz="0"/>
              <w:bottom w:val="none" w:color="FFFFFF" w:sz="0"/>
              <w:right w:val="none" w:color="FFFFFF" w:sz="0"/>
            </w:tcBorders>
            <w:shd w:fill="2A384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Commercial Umbrella</w:t>
            </w:r>
          </w:p>
        </w:tc>
        <w:tc>
          <w:tcPr>
            <w:tcW w:type="dxa" w:w="6360"/>
            <w:tcBorders>
              <w:top w:val="single" w:color="C0CCCC" w:sz="1"/>
              <w:left w:val="single" w:color="C0CCCC" w:sz="1"/>
              <w:bottom w:val="single" w:color="C0CCCC" w:sz="1"/>
              <w:right w:val="single" w:color="C0CCCC" w:sz="1"/>
            </w:tcBorders>
            <w:shd w:fill="FDF2EE" w:val="clear"/>
            <w:tcMar>
              <w:top w:type="dxa" w:w="100"/>
              <w:left w:type="dxa" w:w="160"/>
              <w:bottom w:type="dxa" w:w="100"/>
              <w:right w:type="dxa" w:w="160"/>
            </w:tcMar>
          </w:tcPr>
          <w:p>
            <w:pPr>
              <w:spacing w:after="0" w:before="0"/>
            </w:pPr>
            <w:r>
              <w:rPr>
                <w:rFonts w:ascii="Arial" w:cs="Arial" w:eastAsia="Arial" w:hAnsi="Arial"/>
                <w:color w:val="363C4A"/>
                <w:sz w:val="20"/>
                <w:szCs w:val="20"/>
              </w:rPr>
              <w:t xml:space="preserve">Excess commercial liability above vacation rental and other business policy limits. Provides an additional $1M–5M+ layer of protection for catastrophic liability claims.</w:t>
            </w:r>
          </w:p>
        </w:tc>
      </w:tr>
      <w:tr>
        <w:tc>
          <w:tcPr>
            <w:tcW w:type="dxa" w:w="3000"/>
            <w:tcBorders>
              <w:top w:val="none" w:color="FFFFFF" w:sz="0"/>
              <w:left w:val="none" w:color="FFFFFF" w:sz="0"/>
              <w:bottom w:val="none" w:color="FFFFFF" w:sz="0"/>
              <w:right w:val="none" w:color="FFFFFF" w:sz="0"/>
            </w:tcBorders>
            <w:shd w:fill="8B2E0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Vacation Rental Policy</w:t>
            </w:r>
          </w:p>
        </w:tc>
        <w:tc>
          <w:tcPr>
            <w:tcW w:type="dxa" w:w="6360"/>
            <w:tcBorders>
              <w:top w:val="single" w:color="C0CCCC" w:sz="1"/>
              <w:left w:val="single" w:color="C0CCCC" w:sz="1"/>
              <w:bottom w:val="single" w:color="C0CCCC" w:sz="1"/>
              <w:right w:val="single" w:color="C0CCCC" w:sz="1"/>
            </w:tcBorders>
            <w:shd w:fill="FFFFFF" w:val="clear"/>
            <w:tcMar>
              <w:top w:type="dxa" w:w="100"/>
              <w:left w:type="dxa" w:w="160"/>
              <w:bottom w:type="dxa" w:w="100"/>
              <w:right w:type="dxa" w:w="160"/>
            </w:tcMar>
          </w:tcPr>
          <w:p>
            <w:pPr>
              <w:spacing w:after="0" w:before="0"/>
            </w:pPr>
            <w:r>
              <w:rPr>
                <w:rFonts w:ascii="Arial" w:cs="Arial" w:eastAsia="Arial" w:hAnsi="Arial"/>
                <w:color w:val="363C4A"/>
                <w:sz w:val="20"/>
                <w:szCs w:val="20"/>
              </w:rPr>
              <w:t xml:space="preserve">Building, contents, commercial liability, rental income, guest damage, and all short-term rental-specific risks. The core policy for any active vacation rental property.</w:t>
            </w:r>
          </w:p>
        </w:tc>
      </w:tr>
      <w:tr>
        <w:tc>
          <w:tcPr>
            <w:tcW w:type="dxa" w:w="3000"/>
            <w:tcBorders>
              <w:top w:val="none" w:color="FFFFFF" w:sz="0"/>
              <w:left w:val="none" w:color="FFFFFF" w:sz="0"/>
              <w:bottom w:val="none" w:color="FFFFFF" w:sz="0"/>
              <w:right w:val="none" w:color="FFFFFF" w:sz="0"/>
            </w:tcBorders>
            <w:shd w:fill="B8402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Platform Coverage (AirCover / VRBO)</w:t>
            </w:r>
          </w:p>
        </w:tc>
        <w:tc>
          <w:tcPr>
            <w:tcW w:type="dxa" w:w="6360"/>
            <w:tcBorders>
              <w:top w:val="single" w:color="C0CCCC" w:sz="1"/>
              <w:left w:val="single" w:color="C0CCCC" w:sz="1"/>
              <w:bottom w:val="single" w:color="C0CCCC" w:sz="1"/>
              <w:right w:val="single" w:color="C0CCCC" w:sz="1"/>
            </w:tcBorders>
            <w:shd w:fill="FDF2EE" w:val="clear"/>
            <w:tcMar>
              <w:top w:type="dxa" w:w="100"/>
              <w:left w:type="dxa" w:w="160"/>
              <w:bottom w:type="dxa" w:w="100"/>
              <w:right w:type="dxa" w:w="160"/>
            </w:tcMar>
          </w:tcPr>
          <w:p>
            <w:pPr>
              <w:spacing w:after="0" w:before="0"/>
            </w:pPr>
            <w:r>
              <w:rPr>
                <w:rFonts w:ascii="Arial" w:cs="Arial" w:eastAsia="Arial" w:hAnsi="Arial"/>
                <w:color w:val="363C4A"/>
                <w:sz w:val="20"/>
                <w:szCs w:val="20"/>
              </w:rPr>
              <w:t xml:space="preserve">Supplement (not primary coverage) for platform-booked stays. Useful for minor guest damage claims handled through the platform. Never a substitute for a standalone policy.</w:t>
            </w:r>
          </w:p>
        </w:tc>
      </w:tr>
      <w:tr>
        <w:tc>
          <w:tcPr>
            <w:tcW w:type="dxa" w:w="3000"/>
            <w:tcBorders>
              <w:top w:val="none" w:color="FFFFFF" w:sz="0"/>
              <w:left w:val="none" w:color="FFFFFF" w:sz="0"/>
              <w:bottom w:val="none" w:color="FFFFFF" w:sz="0"/>
              <w:right w:val="none" w:color="FFFFFF" w:sz="0"/>
            </w:tcBorders>
            <w:shd w:fill="0F585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Homeowners Policy (Primary Residence)</w:t>
            </w:r>
          </w:p>
        </w:tc>
        <w:tc>
          <w:tcPr>
            <w:tcW w:type="dxa" w:w="6360"/>
            <w:tcBorders>
              <w:top w:val="single" w:color="C0CCCC" w:sz="1"/>
              <w:left w:val="single" w:color="C0CCCC" w:sz="1"/>
              <w:bottom w:val="single" w:color="C0CCCC" w:sz="1"/>
              <w:right w:val="single" w:color="C0CCCC" w:sz="1"/>
            </w:tcBorders>
            <w:shd w:fill="FFFFFF" w:val="clear"/>
            <w:tcMar>
              <w:top w:type="dxa" w:w="100"/>
              <w:left w:type="dxa" w:w="160"/>
              <w:bottom w:type="dxa" w:w="100"/>
              <w:right w:type="dxa" w:w="160"/>
            </w:tcMar>
          </w:tcPr>
          <w:p>
            <w:pPr>
              <w:spacing w:after="0" w:before="0"/>
            </w:pPr>
            <w:r>
              <w:rPr>
                <w:rFonts w:ascii="Arial" w:cs="Arial" w:eastAsia="Arial" w:hAnsi="Arial"/>
                <w:color w:val="363C4A"/>
                <w:sz w:val="20"/>
                <w:szCs w:val="20"/>
              </w:rPr>
              <w:t xml:space="preserve">Covers your primary residence only. Does NOT extend to vacation rental properties. Must be properly maintained and segregated from vacation rental activities to avoid coverage conflicts.</w:t>
            </w:r>
          </w:p>
        </w:tc>
      </w:tr>
      <w:tr>
        <w:tc>
          <w:tcPr>
            <w:tcW w:type="dxa" w:w="3000"/>
            <w:tcBorders>
              <w:top w:val="none" w:color="FFFFFF" w:sz="0"/>
              <w:left w:val="none" w:color="FFFFFF" w:sz="0"/>
              <w:bottom w:val="none" w:color="FFFFFF" w:sz="0"/>
              <w:right w:val="none" w:color="FFFFFF" w:sz="0"/>
            </w:tcBorders>
            <w:shd w:fill="3C506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Flood / Earthquake (if applicable)</w:t>
            </w:r>
          </w:p>
        </w:tc>
        <w:tc>
          <w:tcPr>
            <w:tcW w:type="dxa" w:w="6360"/>
            <w:tcBorders>
              <w:top w:val="single" w:color="C0CCCC" w:sz="1"/>
              <w:left w:val="single" w:color="C0CCCC" w:sz="1"/>
              <w:bottom w:val="single" w:color="C0CCCC" w:sz="1"/>
              <w:right w:val="single" w:color="C0CCCC" w:sz="1"/>
            </w:tcBorders>
            <w:shd w:fill="FDF2EE" w:val="clear"/>
            <w:tcMar>
              <w:top w:type="dxa" w:w="100"/>
              <w:left w:type="dxa" w:w="160"/>
              <w:bottom w:type="dxa" w:w="100"/>
              <w:right w:type="dxa" w:w="160"/>
            </w:tcMar>
          </w:tcPr>
          <w:p>
            <w:pPr>
              <w:spacing w:after="0" w:before="0"/>
            </w:pPr>
            <w:r>
              <w:rPr>
                <w:rFonts w:ascii="Arial" w:cs="Arial" w:eastAsia="Arial" w:hAnsi="Arial"/>
                <w:color w:val="363C4A"/>
                <w:sz w:val="20"/>
                <w:szCs w:val="20"/>
              </w:rPr>
              <w:t xml:space="preserve">Separate policies required for flood (NFIP or private) and earthquake coverage at vacation rental properties in applicable risk zones. These perils are excluded from standard VR policies.</w:t>
            </w:r>
          </w:p>
        </w:tc>
      </w:tr>
    </w:tbl>
    <w:p>
      <w:pPr>
        <w:spacing w:after="0" w:before="120"/>
      </w:pPr>
      <w:r>
        <w:rPr>
          <w:rFonts w:ascii="Arial" w:cs="Arial" w:eastAsia="Arial" w:hAnsi="Arial"/>
        </w:rPr>
        <w:t xml:space="preserve"/>
      </w:r>
    </w:p>
    <w:p>
      <w:pPr>
        <w:pBdr>
          <w:bottom w:val="single" w:color="ECC0A8" w:sz="4" w:space="4"/>
        </w:pBdr>
        <w:spacing w:after="80" w:before="220"/>
      </w:pPr>
      <w:r>
        <w:rPr>
          <w:rFonts w:ascii="Arial" w:cs="Arial" w:eastAsia="Arial" w:hAnsi="Arial"/>
          <w:b/>
          <w:bCs/>
          <w:color w:val="8B2E00"/>
          <w:sz w:val="24"/>
          <w:szCs w:val="24"/>
        </w:rPr>
        <w:t xml:space="preserve">Key Coordination Points Between Policies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B84020"/>
          <w:sz w:val="22"/>
          <w:szCs w:val="22"/>
        </w:rPr>
        <w:t xml:space="preserve">Vacation rental policy and commercial umbrella — </w:t>
      </w:r>
      <w:r>
        <w:rPr>
          <w:rFonts w:ascii="Arial" w:cs="Arial" w:eastAsia="Arial" w:hAnsi="Arial"/>
          <w:color w:val="363C4A"/>
          <w:sz w:val="22"/>
          <w:szCs w:val="22"/>
        </w:rPr>
        <w:t xml:space="preserve">ensure the vacation rental liability meets the commercial umbrella’s required underlying limits; many umbrella policies require $1 million underlying commercial liability from the VR policy</w:t>
      </w:r>
    </w:p>
    <w:p>
      <w:pPr>
        <w:pStyle w:val="ListParagraph"/>
        <w:numPr>
          <w:ilvl w:val="0"/>
          <w:numId w:val="2"/>
        </w:numPr>
        <w:spacing w:after="60" w:before="60"/>
      </w:pPr>
      <w:r>
        <w:rPr>
          <w:rFonts w:ascii="Arial" w:cs="Arial" w:eastAsia="Arial" w:hAnsi="Arial"/>
          <w:b/>
          <w:bCs/>
          <w:color w:val="B84020"/>
          <w:sz w:val="22"/>
          <w:szCs w:val="22"/>
        </w:rPr>
        <w:t xml:space="preserve">Vacation rental policy and homeowners policy — </w:t>
      </w:r>
      <w:r>
        <w:rPr>
          <w:rFonts w:ascii="Arial" w:cs="Arial" w:eastAsia="Arial" w:hAnsi="Arial"/>
          <w:color w:val="363C4A"/>
          <w:sz w:val="22"/>
          <w:szCs w:val="22"/>
        </w:rPr>
        <w:t xml:space="preserve">keep these policies completely separate; the vacation rental property should be fully covered by the VR policy and should not rely on or interact with the homeowners policy at all</w:t>
      </w:r>
    </w:p>
    <w:p>
      <w:pPr>
        <w:pStyle w:val="ListParagraph"/>
        <w:numPr>
          <w:ilvl w:val="0"/>
          <w:numId w:val="2"/>
        </w:numPr>
        <w:spacing w:after="60" w:before="60"/>
      </w:pPr>
      <w:r>
        <w:rPr>
          <w:rFonts w:ascii="Arial" w:cs="Arial" w:eastAsia="Arial" w:hAnsi="Arial"/>
          <w:b/>
          <w:bCs/>
          <w:color w:val="B84020"/>
          <w:sz w:val="22"/>
          <w:szCs w:val="22"/>
        </w:rPr>
        <w:t xml:space="preserve">Vacation rental policy and flood insurance — </w:t>
      </w:r>
      <w:r>
        <w:rPr>
          <w:rFonts w:ascii="Arial" w:cs="Arial" w:eastAsia="Arial" w:hAnsi="Arial"/>
          <w:color w:val="363C4A"/>
          <w:sz w:val="22"/>
          <w:szCs w:val="22"/>
        </w:rPr>
        <w:t xml:space="preserve">properties in coastal, riverine, or other flood-prone areas need a separate flood policy; standard VR policies exclude flood damage just as homeowners policies do</w:t>
      </w:r>
    </w:p>
    <w:p>
      <w:pPr>
        <w:pStyle w:val="ListParagraph"/>
        <w:numPr>
          <w:ilvl w:val="0"/>
          <w:numId w:val="2"/>
        </w:numPr>
        <w:spacing w:after="60" w:before="60"/>
      </w:pPr>
      <w:r>
        <w:rPr>
          <w:rFonts w:ascii="Arial" w:cs="Arial" w:eastAsia="Arial" w:hAnsi="Arial"/>
          <w:b/>
          <w:bCs/>
          <w:color w:val="B84020"/>
          <w:sz w:val="22"/>
          <w:szCs w:val="22"/>
        </w:rPr>
        <w:t xml:space="preserve">Vacation rental policy and business income — </w:t>
      </w:r>
      <w:r>
        <w:rPr>
          <w:rFonts w:ascii="Arial" w:cs="Arial" w:eastAsia="Arial" w:hAnsi="Arial"/>
          <w:color w:val="363C4A"/>
          <w:sz w:val="22"/>
          <w:szCs w:val="22"/>
        </w:rPr>
        <w:t xml:space="preserve">ensure the rental income replacement coverage amount reflects actual gross booking revenue, not just a generic fair rental value estimate that may understate income</w:t>
      </w:r>
    </w:p>
    <w:p>
      <w:pPr>
        <w:pStyle w:val="ListParagraph"/>
        <w:numPr>
          <w:ilvl w:val="0"/>
          <w:numId w:val="2"/>
        </w:numPr>
        <w:spacing w:after="60" w:before="60"/>
      </w:pPr>
      <w:r>
        <w:rPr>
          <w:rFonts w:ascii="Arial" w:cs="Arial" w:eastAsia="Arial" w:hAnsi="Arial"/>
          <w:b/>
          <w:bCs/>
          <w:color w:val="B84020"/>
          <w:sz w:val="22"/>
          <w:szCs w:val="22"/>
        </w:rPr>
        <w:t xml:space="preserve">Multi-property vacation rental portfolios — </w:t>
      </w:r>
      <w:r>
        <w:rPr>
          <w:rFonts w:ascii="Arial" w:cs="Arial" w:eastAsia="Arial" w:hAnsi="Arial"/>
          <w:color w:val="363C4A"/>
          <w:sz w:val="22"/>
          <w:szCs w:val="22"/>
        </w:rPr>
        <w:t xml:space="preserve">owners of multiple vacation rental properties should work with a commercial lines broker to structure a blanket or portfolio policy that provides consistent coverage across all properties</w:t>
      </w:r>
    </w:p>
    <w:p>
      <w:pPr>
        <w:spacing w:after="0" w:before="100"/>
      </w:pPr>
      <w:r>
        <w:rPr>
          <w:rFonts w:ascii="Arial" w:cs="Arial" w:eastAsia="Arial" w:hAnsi="Arial"/>
        </w:rPr>
        <w:t xml:space="preserve"/>
      </w:r>
    </w:p>
    <w:p>
      <w:pPr>
        <w:pBdr>
          <w:bottom w:val="single" w:color="ECC0A8" w:sz="4" w:space="4"/>
        </w:pBdr>
        <w:spacing w:after="80" w:before="220"/>
      </w:pPr>
      <w:r>
        <w:rPr>
          <w:rFonts w:ascii="Arial" w:cs="Arial" w:eastAsia="Arial" w:hAnsi="Arial"/>
          <w:b/>
          <w:bCs/>
          <w:color w:val="8B2E00"/>
          <w:sz w:val="24"/>
          <w:szCs w:val="24"/>
        </w:rPr>
        <w:t xml:space="preserve">Annual Program Review Checklist for Vacation Rental Hosts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B84020"/>
          <w:sz w:val="22"/>
          <w:szCs w:val="22"/>
        </w:rPr>
        <w:t xml:space="preserve">Verify property replacement cost is current — </w:t>
      </w:r>
      <w:r>
        <w:rPr>
          <w:rFonts w:ascii="Arial" w:cs="Arial" w:eastAsia="Arial" w:hAnsi="Arial"/>
          <w:color w:val="363C4A"/>
          <w:sz w:val="22"/>
          <w:szCs w:val="22"/>
        </w:rPr>
        <w:t xml:space="preserve">construction costs increase annually; confirm that building coverage limits reflect current replacement cost, not original purchase price or prior year estimate</w:t>
      </w:r>
    </w:p>
    <w:p>
      <w:pPr>
        <w:pStyle w:val="ListParagraph"/>
        <w:numPr>
          <w:ilvl w:val="0"/>
          <w:numId w:val="2"/>
        </w:numPr>
        <w:spacing w:after="60" w:before="60"/>
      </w:pPr>
      <w:r>
        <w:rPr>
          <w:rFonts w:ascii="Arial" w:cs="Arial" w:eastAsia="Arial" w:hAnsi="Arial"/>
          <w:b/>
          <w:bCs/>
          <w:color w:val="B84020"/>
          <w:sz w:val="22"/>
          <w:szCs w:val="22"/>
        </w:rPr>
        <w:t xml:space="preserve">Update contents and furnishings values — </w:t>
      </w:r>
      <w:r>
        <w:rPr>
          <w:rFonts w:ascii="Arial" w:cs="Arial" w:eastAsia="Arial" w:hAnsi="Arial"/>
          <w:color w:val="363C4A"/>
          <w:sz w:val="22"/>
          <w:szCs w:val="22"/>
        </w:rPr>
        <w:t xml:space="preserve">as you replace or upgrade furnishings, appliances, and rental equipment, update contents coverage limits to reflect current replacement cost</w:t>
      </w:r>
    </w:p>
    <w:p>
      <w:pPr>
        <w:pStyle w:val="ListParagraph"/>
        <w:numPr>
          <w:ilvl w:val="0"/>
          <w:numId w:val="2"/>
        </w:numPr>
        <w:spacing w:after="60" w:before="60"/>
      </w:pPr>
      <w:r>
        <w:rPr>
          <w:rFonts w:ascii="Arial" w:cs="Arial" w:eastAsia="Arial" w:hAnsi="Arial"/>
          <w:b/>
          <w:bCs/>
          <w:color w:val="B84020"/>
          <w:sz w:val="22"/>
          <w:szCs w:val="22"/>
        </w:rPr>
        <w:t xml:space="preserve">Review rental income amount — </w:t>
      </w:r>
      <w:r>
        <w:rPr>
          <w:rFonts w:ascii="Arial" w:cs="Arial" w:eastAsia="Arial" w:hAnsi="Arial"/>
          <w:color w:val="363C4A"/>
          <w:sz w:val="22"/>
          <w:szCs w:val="22"/>
        </w:rPr>
        <w:t xml:space="preserve">as booking rates and occupancy change, adjust rental income coverage to match current annual gross rental revenue</w:t>
      </w:r>
    </w:p>
    <w:p>
      <w:pPr>
        <w:pStyle w:val="ListParagraph"/>
        <w:numPr>
          <w:ilvl w:val="0"/>
          <w:numId w:val="2"/>
        </w:numPr>
        <w:spacing w:after="60" w:before="60"/>
      </w:pPr>
      <w:r>
        <w:rPr>
          <w:rFonts w:ascii="Arial" w:cs="Arial" w:eastAsia="Arial" w:hAnsi="Arial"/>
          <w:b/>
          <w:bCs/>
          <w:color w:val="B84020"/>
          <w:sz w:val="22"/>
          <w:szCs w:val="22"/>
        </w:rPr>
        <w:t xml:space="preserve">Confirm all booking platforms are covered — </w:t>
      </w:r>
      <w:r>
        <w:rPr>
          <w:rFonts w:ascii="Arial" w:cs="Arial" w:eastAsia="Arial" w:hAnsi="Arial"/>
          <w:color w:val="363C4A"/>
          <w:sz w:val="22"/>
          <w:szCs w:val="22"/>
        </w:rPr>
        <w:t xml:space="preserve">verify that your policy covers bookings from all platforms you use — Airbnb, VRBO, Booking.com, direct — not just one</w:t>
      </w:r>
    </w:p>
    <w:p>
      <w:pPr>
        <w:pStyle w:val="ListParagraph"/>
        <w:numPr>
          <w:ilvl w:val="0"/>
          <w:numId w:val="2"/>
        </w:numPr>
        <w:spacing w:after="60" w:before="60"/>
      </w:pPr>
      <w:r>
        <w:rPr>
          <w:rFonts w:ascii="Arial" w:cs="Arial" w:eastAsia="Arial" w:hAnsi="Arial"/>
          <w:b/>
          <w:bCs/>
          <w:color w:val="B84020"/>
          <w:sz w:val="22"/>
          <w:szCs w:val="22"/>
        </w:rPr>
        <w:t xml:space="preserve">Review liability limits annually — </w:t>
      </w:r>
      <w:r>
        <w:rPr>
          <w:rFonts w:ascii="Arial" w:cs="Arial" w:eastAsia="Arial" w:hAnsi="Arial"/>
          <w:color w:val="363C4A"/>
          <w:sz w:val="22"/>
          <w:szCs w:val="22"/>
        </w:rPr>
        <w:t xml:space="preserve">as property values and rental revenues grow, ensure commercial liability limits keep pace with your actual exposure</w:t>
      </w:r>
    </w:p>
    <w:p>
      <w:pPr>
        <w:pStyle w:val="ListParagraph"/>
        <w:numPr>
          <w:ilvl w:val="0"/>
          <w:numId w:val="2"/>
        </w:numPr>
        <w:spacing w:after="60" w:before="60"/>
      </w:pPr>
      <w:r>
        <w:rPr>
          <w:rFonts w:ascii="Arial" w:cs="Arial" w:eastAsia="Arial" w:hAnsi="Arial"/>
          <w:b/>
          <w:bCs/>
          <w:color w:val="B84020"/>
          <w:sz w:val="22"/>
          <w:szCs w:val="22"/>
        </w:rPr>
        <w:t xml:space="preserve">Assess local STR regulatory compliance — </w:t>
      </w:r>
      <w:r>
        <w:rPr>
          <w:rFonts w:ascii="Arial" w:cs="Arial" w:eastAsia="Arial" w:hAnsi="Arial"/>
          <w:color w:val="363C4A"/>
          <w:sz w:val="22"/>
          <w:szCs w:val="22"/>
        </w:rPr>
        <w:t xml:space="preserve">many jurisdictions now require proof of insurance as part of short-term rental permit requirements; confirm your policy satisfies local requirements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A6830" w:sz="18"/>
              <w:bottom w:val="none" w:color="FFFFFF" w:sz="0"/>
              <w:right w:val="none" w:color="FFFFFF" w:sz="0"/>
            </w:tcBorders>
            <w:shd w:fill="FBF7EE" w:val="clear"/>
            <w:tcMar>
              <w:top w:type="dxa" w:w="110"/>
              <w:left w:type="dxa" w:w="200"/>
              <w:bottom w:type="dxa" w:w="110"/>
              <w:right w:type="dxa" w:w="160"/>
            </w:tcMar>
          </w:tcPr>
          <w:p>
            <w:pPr>
              <w:spacing w:after="60" w:before="0"/>
            </w:pPr>
            <w:r>
              <w:rPr>
                <w:rFonts w:ascii="Arial" w:cs="Arial" w:eastAsia="Arial" w:hAnsi="Arial"/>
                <w:b/>
                <w:bCs/>
                <w:caps/>
                <w:color w:val="6B5020"/>
                <w:sz w:val="19"/>
                <w:szCs w:val="19"/>
              </w:rPr>
              <w:t xml:space="preserve">Tax and Business Structure Considerations</w:t>
            </w:r>
          </w:p>
          <w:p>
            <w:pPr>
              <w:spacing w:after="0" w:before="0"/>
            </w:pPr>
            <w:r>
              <w:rPr>
                <w:rFonts w:ascii="Arial" w:cs="Arial" w:eastAsia="Arial" w:hAnsi="Arial"/>
                <w:color w:val="4A3010"/>
                <w:sz w:val="20"/>
                <w:szCs w:val="20"/>
              </w:rPr>
              <w:t xml:space="preserve">Vacation rental owners who operate through an LLC or other business entity should ensure their vacation rental insurance policy names the business entity as the insured party, not just the individual owner. Policies issued in the individual’s name may not respond to claims when the LLC is the legal owner of the property. Work with both your insurance agent and your accountant to ensure the insurance and ownership structures are properly aligned.</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1A7070" w:sz="18"/>
              <w:bottom w:val="none" w:color="FFFFFF" w:sz="0"/>
              <w:right w:val="none" w:color="FFFFFF" w:sz="0"/>
            </w:tcBorders>
            <w:shd w:fill="EAF5F5" w:val="clear"/>
            <w:tcMar>
              <w:top w:type="dxa" w:w="110"/>
              <w:left w:type="dxa" w:w="200"/>
              <w:bottom w:type="dxa" w:w="110"/>
              <w:right w:type="dxa" w:w="160"/>
            </w:tcMar>
          </w:tcPr>
          <w:p>
            <w:pPr>
              <w:spacing w:after="0" w:before="0"/>
            </w:pPr>
            <w:r>
              <w:rPr>
                <w:rFonts w:ascii="Arial" w:cs="Arial" w:eastAsia="Arial" w:hAnsi="Arial"/>
                <w:b/>
                <w:bCs/>
                <w:color w:val="0F5858"/>
                <w:sz w:val="20"/>
                <w:szCs w:val="20"/>
              </w:rPr>
              <w:t xml:space="preserve">Key Takeaway: </w:t>
            </w:r>
            <w:r>
              <w:rPr>
                <w:rFonts w:ascii="Arial" w:cs="Arial" w:eastAsia="Arial" w:hAnsi="Arial"/>
                <w:color w:val="363C4A"/>
                <w:sz w:val="20"/>
                <w:szCs w:val="20"/>
              </w:rPr>
              <w:t xml:space="preserve">Vacation rental insurance is the commercial insurance layer that transforms a vacation rental operation from a personally exposed financial risk into a properly insured business. Platform protections, homeowners policies, and landlord insurance each leave critical gaps — only a purpose-built vacation rental policy addresses the full range of risks that come with hosting paying guests.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8B2E00" w:val="clear"/>
            <w:tcMar>
              <w:top w:type="dxa" w:w="240"/>
              <w:left w:type="dxa" w:w="320"/>
              <w:bottom w:type="dxa" w:w="240"/>
              <w:right w:type="dxa" w:w="320"/>
            </w:tcMar>
          </w:tcPr>
          <w:p>
            <w:pPr>
              <w:spacing w:after="120" w:before="0"/>
            </w:pPr>
            <w:r>
              <w:rPr>
                <w:rFonts w:ascii="Arial" w:cs="Arial" w:eastAsia="Arial" w:hAnsi="Arial"/>
                <w:b/>
                <w:bCs/>
                <w:color w:val="FFFFFF"/>
                <w:sz w:val="30"/>
                <w:szCs w:val="30"/>
              </w:rPr>
              <w:t xml:space="preserve">Host with Confidence. Rent with Coverage.</w:t>
            </w:r>
          </w:p>
          <w:p>
            <w:pPr>
              <w:spacing w:after="100" w:before="0"/>
            </w:pPr>
            <w:r>
              <w:rPr>
                <w:rFonts w:ascii="Arial" w:cs="Arial" w:eastAsia="Arial" w:hAnsi="Arial"/>
                <w:color w:val="ECC0A8"/>
                <w:sz w:val="22"/>
                <w:szCs w:val="22"/>
              </w:rPr>
              <w:t xml:space="preserve">Your vacation rental is both an asset and a business. Protecting it requires more than a homeowners policy and a platform guarantee — it requires a purpose-built vacation rental insurance program tailored to your property, your guests, and your rental income. Daly &amp; Alexander Insurance helps hosts build the right coverage for the way they rent.</w:t>
            </w:r>
          </w:p>
          <w:p>
            <w:pPr>
              <w:spacing w:after="0" w:before="0"/>
            </w:pPr>
            <w:r>
              <w:rPr>
                <w:rFonts w:ascii="Arial" w:cs="Arial" w:eastAsia="Arial" w:hAnsi="Arial"/>
                <w:b/>
                <w:bCs/>
                <w:color w:val="FFFFFF"/>
                <w:sz w:val="22"/>
                <w:szCs w:val="22"/>
              </w:rPr>
              <w:t xml:space="preserve">Contact Daly &amp; Alexander Insurance today at www.dalyandalexander.com</w:t>
            </w:r>
          </w:p>
        </w:tc>
      </w:tr>
    </w:tbl>
    <w:p>
      <w:pPr>
        <w:spacing w:after="0" w:before="200"/>
      </w:pPr>
      <w:r>
        <w:rPr>
          <w:rFonts w:ascii="Arial" w:cs="Arial" w:eastAsia="Arial" w:hAnsi="Arial"/>
        </w:rPr>
        <w:t xml:space="preserve"/>
      </w:r>
    </w:p>
    <w:p>
      <w:pPr>
        <w:pBdr>
          <w:top w:val="single" w:color="D8DCE4" w:sz="4" w:space="6"/>
        </w:pBdr>
        <w:spacing w:after="80" w:before="0"/>
      </w:pPr>
      <w:r>
        <w:rPr>
          <w:rFonts w:ascii="Arial" w:cs="Arial" w:eastAsia="Arial" w:hAnsi="Arial"/>
          <w:b/>
          <w:bCs/>
          <w:caps/>
          <w:color w:val="6A7080"/>
          <w:sz w:val="19"/>
          <w:szCs w:val="19"/>
        </w:rPr>
        <w:t xml:space="preserve">Disclaimer</w:t>
      </w:r>
    </w:p>
    <w:p>
      <w:pPr>
        <w:spacing w:after="120" w:before="0"/>
      </w:pPr>
      <w:r>
        <w:rPr>
          <w:rFonts w:ascii="Arial" w:cs="Arial" w:eastAsia="Arial" w:hAnsi="Arial"/>
          <w:color w:val="6A7080"/>
          <w:sz w:val="18"/>
          <w:szCs w:val="18"/>
        </w:rPr>
        <w:t xml:space="preserve">The information contained in this article is intended for general informational and educational purposes only and should not be construed as legal, financial, or insurance advice. Vacation rental insurance requirements, platform coverage terms, and local short-term rental regulations vary significantly by property, platform, jurisdiction, and carrier and are subject to change. Platform coverage programs such as Airbnb AirCover and VRBO host protections are contractual benefits, not regulated insurance products, and their terms may be modified by the respective platforms at any time. It is the sole responsibility of the reader to carefully review their individual insurance policy and applicable regulations. Daly Insurance, Inc. and Daly &amp; Alexander Insurance make no representations or warranties of any kind regarding the completeness, accuracy, or reliability of any content published online or offline, and expressly disclaim all liability for any errors, omissions, or inaccuracies. Coverage availability, terms, and pricing are subject to underwriting approval and vary by carrier, state, and individual circumstance.</w:t>
      </w:r>
    </w:p>
    <w:p>
      <w:pPr>
        <w:spacing w:after="0" w:before="80"/>
        <w:jc w:val="center"/>
      </w:pPr>
      <w:r>
        <w:rPr>
          <w:rFonts w:ascii="Arial" w:cs="Arial" w:eastAsia="Arial" w:hAnsi="Arial"/>
          <w:i/>
          <w:iCs/>
          <w:color w:val="6A7080"/>
          <w:sz w:val="18"/>
          <w:szCs w:val="18"/>
        </w:rPr>
        <w:t xml:space="preserve">Daly Insurance, Inc.  |  Daly &amp; Alexander Insurance  |  www.dalyandalexander.com  |  Licensed Insurance Professionals</w:t>
      </w:r>
    </w:p>
    <w:sectPr>
      <w:headerReference w:type="default" r:id="rId7"/>
      <w:footerReference w:type="default" r:id="rId8"/>
      <w:pgSz w:w="12240" w:h="15840" w:orient="portrait"/>
      <w:pgMar w:top="1440" w:right="1260" w:bottom="1440" w:left="126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ECC0A8" w:sz="4" w:space="4"/>
      </w:pBdr>
      <w:spacing w:after="0" w:before="0"/>
    </w:pPr>
    <w:r>
      <w:rPr>
        <w:rFonts w:ascii="Arial" w:cs="Arial" w:eastAsia="Arial" w:hAnsi="Arial"/>
        <w:color w:val="6A7080"/>
        <w:sz w:val="16"/>
        <w:szCs w:val="16"/>
      </w:rPr>
      <w:t xml:space="preserve">Daly Insurance, Inc.  |  Daly &amp; Alexander Insurance  |  Licensed Insurance Professionals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ECC0A8" w:sz="4" w:space="6"/>
      </w:pBdr>
      <w:spacing w:after="0" w:before="0"/>
    </w:pPr>
    <w:r>
      <w:rPr>
        <w:rFonts w:ascii="Arial" w:cs="Arial" w:eastAsia="Arial" w:hAnsi="Arial"/>
        <w:b/>
        <w:bCs/>
        <w:color w:val="B84020"/>
        <w:sz w:val="18"/>
        <w:szCs w:val="18"/>
      </w:rPr>
      <w:t xml:space="preserve">VACATION RENTAL INSURANCE GUIDE</w:t>
    </w:r>
    <w:r>
      <w:rPr>
        <w:rFonts w:ascii="Arial" w:cs="Arial" w:eastAsia="Arial" w:hAnsi="Arial"/>
        <w:color w:val="6A7080"/>
        <w:sz w:val="18"/>
        <w:szCs w:val="18"/>
      </w:rPr>
      <w:t xml:space="preserve">   |   Daly &amp; Alexander Insurance  |  www.dalyandalexander.com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60" w:hanging="28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60"/>
      <w:outlineLvl w:val="0"/>
    </w:pPr>
    <w:rPr>
      <w:rFonts w:ascii="Arial" w:cs="Arial" w:eastAsia="Arial" w:hAnsi="Arial"/>
      <w:b/>
      <w:bCs/>
      <w:color w:val="8B2E00"/>
      <w:sz w:val="32"/>
      <w:szCs w:val="32"/>
    </w:rPr>
  </w:style>
  <w:style w:type="paragraph" w:styleId="Heading2">
    <w:name w:val="Heading 2"/>
    <w:basedOn w:val="Normal"/>
    <w:next w:val="Normal"/>
    <w:qFormat/>
    <w:pPr>
      <w:spacing w:after="80" w:before="240"/>
      <w:outlineLvl w:val="1"/>
    </w:pPr>
    <w:rPr>
      <w:rFonts w:ascii="Arial" w:cs="Arial" w:eastAsia="Arial" w:hAnsi="Arial"/>
      <w:b/>
      <w:bCs/>
      <w:color w:val="B84020"/>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2026-05-06T04:42:51.027Z</dcterms:created>
  <dcterms:modified xsi:type="dcterms:W3CDTF">2026-05-06T04:42:51.047Z</dcterms:modified>
</cp:coreProperties>
</file>

<file path=docProps/custom.xml><?xml version="1.0" encoding="utf-8"?>
<Properties xmlns="http://schemas.openxmlformats.org/officeDocument/2006/custom-properties" xmlns:vt="http://schemas.openxmlformats.org/officeDocument/2006/docPropsVTypes"/>
</file>